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B5E9" w14:textId="77777777" w:rsidR="00C90E78" w:rsidRPr="00FB172C" w:rsidRDefault="00000000">
      <w:pPr>
        <w:pStyle w:val="Titolo"/>
        <w:rPr>
          <w:lang w:val="it-IT"/>
        </w:rPr>
      </w:pPr>
      <w:r w:rsidRPr="00FB172C">
        <w:rPr>
          <w:lang w:val="it-IT"/>
        </w:rPr>
        <w:t>RELAZIONE TECNICO-CLINICA</w:t>
      </w:r>
    </w:p>
    <w:p w14:paraId="22A06651" w14:textId="77777777" w:rsidR="00C90E78" w:rsidRPr="00FB172C" w:rsidRDefault="00000000">
      <w:pPr>
        <w:rPr>
          <w:lang w:val="it-IT"/>
        </w:rPr>
      </w:pPr>
      <w:r w:rsidRPr="00FB172C">
        <w:rPr>
          <w:b/>
          <w:sz w:val="26"/>
          <w:lang w:val="it-IT"/>
        </w:rPr>
        <w:t xml:space="preserve">Superiorità clinica, organizzativa ed economica del sistema </w:t>
      </w:r>
      <w:proofErr w:type="spellStart"/>
      <w:r w:rsidRPr="00FB172C">
        <w:rPr>
          <w:b/>
          <w:sz w:val="26"/>
          <w:lang w:val="it-IT"/>
        </w:rPr>
        <w:t>Vacutex</w:t>
      </w:r>
      <w:proofErr w:type="spellEnd"/>
      <w:r w:rsidRPr="00FB172C">
        <w:rPr>
          <w:b/>
          <w:sz w:val="26"/>
          <w:lang w:val="it-IT"/>
        </w:rPr>
        <w:t xml:space="preserve">® rispetto alle medicazioni avanzate tradizionali (schiume di poliuretano, alginati, </w:t>
      </w:r>
      <w:proofErr w:type="spellStart"/>
      <w:r w:rsidRPr="00FB172C">
        <w:rPr>
          <w:b/>
          <w:sz w:val="26"/>
          <w:lang w:val="it-IT"/>
        </w:rPr>
        <w:t>idrofibre</w:t>
      </w:r>
      <w:proofErr w:type="spellEnd"/>
      <w:r w:rsidRPr="00FB172C">
        <w:rPr>
          <w:b/>
          <w:sz w:val="26"/>
          <w:lang w:val="it-IT"/>
        </w:rPr>
        <w:t xml:space="preserve">, </w:t>
      </w:r>
      <w:proofErr w:type="spellStart"/>
      <w:r w:rsidRPr="00FB172C">
        <w:rPr>
          <w:b/>
          <w:sz w:val="26"/>
          <w:lang w:val="it-IT"/>
        </w:rPr>
        <w:t>idrocolloidi</w:t>
      </w:r>
      <w:proofErr w:type="spellEnd"/>
      <w:r w:rsidRPr="00FB172C">
        <w:rPr>
          <w:b/>
          <w:sz w:val="26"/>
          <w:lang w:val="it-IT"/>
        </w:rPr>
        <w:t xml:space="preserve">, medicazioni </w:t>
      </w:r>
      <w:proofErr w:type="spellStart"/>
      <w:r w:rsidRPr="00FB172C">
        <w:rPr>
          <w:b/>
          <w:sz w:val="26"/>
          <w:lang w:val="it-IT"/>
        </w:rPr>
        <w:t>superassorbenti</w:t>
      </w:r>
      <w:proofErr w:type="spellEnd"/>
      <w:r w:rsidRPr="00FB172C">
        <w:rPr>
          <w:b/>
          <w:sz w:val="26"/>
          <w:lang w:val="it-IT"/>
        </w:rPr>
        <w:t xml:space="preserve"> e antimicrobiche)</w:t>
      </w:r>
    </w:p>
    <w:p w14:paraId="7E81ED84" w14:textId="77777777" w:rsidR="00C90E78" w:rsidRPr="00FB172C" w:rsidRDefault="00000000">
      <w:pPr>
        <w:rPr>
          <w:lang w:val="it-IT"/>
        </w:rPr>
      </w:pPr>
      <w:r w:rsidRPr="00FB172C">
        <w:rPr>
          <w:i/>
          <w:lang w:val="it-IT"/>
        </w:rPr>
        <w:t>A supporto della partecipazione a procedure di gara per la fornitura di medicazioni avanzate al Servizio Sanitario Nazionale</w:t>
      </w:r>
    </w:p>
    <w:p w14:paraId="5981D4B7" w14:textId="77777777" w:rsidR="00C90E78" w:rsidRPr="00FB172C" w:rsidRDefault="00C90E78">
      <w:pPr>
        <w:rPr>
          <w:lang w:val="it-IT"/>
        </w:rPr>
      </w:pPr>
    </w:p>
    <w:p w14:paraId="64CA62BF" w14:textId="77777777" w:rsidR="00C90E78" w:rsidRPr="00FB172C" w:rsidRDefault="00000000">
      <w:pPr>
        <w:rPr>
          <w:lang w:val="it-IT"/>
        </w:rPr>
      </w:pPr>
      <w:r w:rsidRPr="00FB172C">
        <w:rPr>
          <w:b/>
          <w:lang w:val="it-IT"/>
        </w:rPr>
        <w:t>Premessa metodologica</w:t>
      </w:r>
    </w:p>
    <w:p w14:paraId="433B134D" w14:textId="77777777" w:rsidR="00C90E78" w:rsidRPr="00FB172C" w:rsidRDefault="00000000">
      <w:pPr>
        <w:rPr>
          <w:lang w:val="it-IT"/>
        </w:rPr>
      </w:pPr>
      <w:r w:rsidRPr="00FB172C">
        <w:rPr>
          <w:lang w:val="it-IT"/>
        </w:rPr>
        <w:t xml:space="preserve">La presente relazione confronta il sistema di medicazione capillare a pressione negativa </w:t>
      </w:r>
      <w:proofErr w:type="spellStart"/>
      <w:r w:rsidRPr="00FB172C">
        <w:rPr>
          <w:lang w:val="it-IT"/>
        </w:rPr>
        <w:t>Vacutex</w:t>
      </w:r>
      <w:proofErr w:type="spellEnd"/>
      <w:r w:rsidRPr="00FB172C">
        <w:rPr>
          <w:lang w:val="it-IT"/>
        </w:rPr>
        <w:t xml:space="preserve">® (azione capillare passiva con pressione misurata di –68 mmHg) con le principali categorie di medicazioni avanzate oggi disponibili sul mercato — schiume di poliuretano, alginati di calcio, </w:t>
      </w:r>
      <w:proofErr w:type="spellStart"/>
      <w:r w:rsidRPr="00FB172C">
        <w:rPr>
          <w:lang w:val="it-IT"/>
        </w:rPr>
        <w:t>idrofibre</w:t>
      </w:r>
      <w:proofErr w:type="spellEnd"/>
      <w:r w:rsidRPr="00FB172C">
        <w:rPr>
          <w:lang w:val="it-IT"/>
        </w:rPr>
        <w:t xml:space="preserve">, </w:t>
      </w:r>
      <w:proofErr w:type="spellStart"/>
      <w:r w:rsidRPr="00FB172C">
        <w:rPr>
          <w:lang w:val="it-IT"/>
        </w:rPr>
        <w:t>idrocolloidi</w:t>
      </w:r>
      <w:proofErr w:type="spellEnd"/>
      <w:r w:rsidRPr="00FB172C">
        <w:rPr>
          <w:lang w:val="it-IT"/>
        </w:rPr>
        <w:t xml:space="preserve">, idrogel, medicazioni </w:t>
      </w:r>
      <w:proofErr w:type="spellStart"/>
      <w:r w:rsidRPr="00FB172C">
        <w:rPr>
          <w:lang w:val="it-IT"/>
        </w:rPr>
        <w:t>superassorbenti</w:t>
      </w:r>
      <w:proofErr w:type="spellEnd"/>
      <w:r w:rsidRPr="00FB172C">
        <w:rPr>
          <w:lang w:val="it-IT"/>
        </w:rPr>
        <w:t xml:space="preserve"> e medicazioni antimicrobiche (argento, PHMB, </w:t>
      </w:r>
      <w:proofErr w:type="spellStart"/>
      <w:r w:rsidRPr="00FB172C">
        <w:rPr>
          <w:lang w:val="it-IT"/>
        </w:rPr>
        <w:t>iodopovidone</w:t>
      </w:r>
      <w:proofErr w:type="spellEnd"/>
      <w:r w:rsidRPr="00FB172C">
        <w:rPr>
          <w:lang w:val="it-IT"/>
        </w:rPr>
        <w:t xml:space="preserve">) — illustrando le ragioni che ne motivano la preferibilità in numerose indicazioni cliniche. Il documento è destinato a supportare la stesura di relazioni tecniche e di indagini di mercato nell'ambito di procedure di affidamento ex artt. 75 e 108 del </w:t>
      </w:r>
      <w:proofErr w:type="spellStart"/>
      <w:r w:rsidRPr="00FB172C">
        <w:rPr>
          <w:lang w:val="it-IT"/>
        </w:rPr>
        <w:t>D.Lgs.</w:t>
      </w:r>
      <w:proofErr w:type="spellEnd"/>
      <w:r w:rsidRPr="00FB172C">
        <w:rPr>
          <w:lang w:val="it-IT"/>
        </w:rPr>
        <w:t xml:space="preserve"> n. 36/2023 (Codice dei Contratti Pubblici) ed è strutturato per fornire alla stazione appaltante elementi oggettivi di natura tecnica e bibliografica.</w:t>
      </w:r>
    </w:p>
    <w:p w14:paraId="4C60499D" w14:textId="77777777" w:rsidR="00C90E78" w:rsidRPr="00FB172C" w:rsidRDefault="00000000">
      <w:pPr>
        <w:rPr>
          <w:lang w:val="it-IT"/>
        </w:rPr>
      </w:pPr>
      <w:r w:rsidRPr="00FB172C">
        <w:rPr>
          <w:lang w:val="it-IT"/>
        </w:rPr>
        <w:br w:type="page"/>
      </w:r>
    </w:p>
    <w:p w14:paraId="24F4E14E" w14:textId="77777777" w:rsidR="00C90E78" w:rsidRPr="00FB172C" w:rsidRDefault="00000000">
      <w:pPr>
        <w:pStyle w:val="Titolo1"/>
        <w:rPr>
          <w:lang w:val="it-IT"/>
        </w:rPr>
      </w:pPr>
      <w:r w:rsidRPr="00FB172C">
        <w:rPr>
          <w:lang w:val="it-IT"/>
        </w:rPr>
        <w:lastRenderedPageBreak/>
        <w:t>1. La distinzione fondamentale: assorbimento passivo vs azione capillare attiva</w:t>
      </w:r>
    </w:p>
    <w:p w14:paraId="61743BEF" w14:textId="77777777" w:rsidR="00C90E78" w:rsidRPr="00FB172C" w:rsidRDefault="00000000">
      <w:pPr>
        <w:pStyle w:val="Titolo2"/>
        <w:rPr>
          <w:lang w:val="it-IT"/>
        </w:rPr>
      </w:pPr>
      <w:r w:rsidRPr="00FB172C">
        <w:rPr>
          <w:lang w:val="it-IT"/>
        </w:rPr>
        <w:t>1.1 Limite intrinseco delle medicazioni avanzate tradizionali</w:t>
      </w:r>
    </w:p>
    <w:p w14:paraId="432C2E6B" w14:textId="77777777" w:rsidR="00C90E78" w:rsidRPr="00FB172C" w:rsidRDefault="00000000">
      <w:pPr>
        <w:rPr>
          <w:lang w:val="it-IT"/>
        </w:rPr>
      </w:pPr>
      <w:r w:rsidRPr="00FB172C">
        <w:rPr>
          <w:lang w:val="it-IT"/>
        </w:rPr>
        <w:t xml:space="preserve">Le medicazioni avanzate oggi più diffuse (schiume di poliuretano, alginati, </w:t>
      </w:r>
      <w:proofErr w:type="spellStart"/>
      <w:r w:rsidRPr="00FB172C">
        <w:rPr>
          <w:lang w:val="it-IT"/>
        </w:rPr>
        <w:t>idrofibre</w:t>
      </w:r>
      <w:proofErr w:type="spellEnd"/>
      <w:r w:rsidRPr="00FB172C">
        <w:rPr>
          <w:lang w:val="it-IT"/>
        </w:rPr>
        <w:t xml:space="preserve">, </w:t>
      </w:r>
      <w:proofErr w:type="spellStart"/>
      <w:r w:rsidRPr="00FB172C">
        <w:rPr>
          <w:lang w:val="it-IT"/>
        </w:rPr>
        <w:t>idrocolloidi</w:t>
      </w:r>
      <w:proofErr w:type="spellEnd"/>
      <w:r w:rsidRPr="00FB172C">
        <w:rPr>
          <w:lang w:val="it-IT"/>
        </w:rPr>
        <w:t xml:space="preserve">, medicazioni </w:t>
      </w:r>
      <w:proofErr w:type="spellStart"/>
      <w:r w:rsidRPr="00FB172C">
        <w:rPr>
          <w:lang w:val="it-IT"/>
        </w:rPr>
        <w:t>superassorbenti</w:t>
      </w:r>
      <w:proofErr w:type="spellEnd"/>
      <w:r w:rsidRPr="00FB172C">
        <w:rPr>
          <w:lang w:val="it-IT"/>
        </w:rPr>
        <w:t xml:space="preserve">) sono concepite per assorbire l'essudato della ferita all'interno della propria matrice mediante meccanismi prevalentemente passivi: gonfiamento della fibra (alginati e </w:t>
      </w:r>
      <w:proofErr w:type="spellStart"/>
      <w:r w:rsidRPr="00FB172C">
        <w:rPr>
          <w:lang w:val="it-IT"/>
        </w:rPr>
        <w:t>idrofibre</w:t>
      </w:r>
      <w:proofErr w:type="spellEnd"/>
      <w:r w:rsidRPr="00FB172C">
        <w:rPr>
          <w:lang w:val="it-IT"/>
        </w:rPr>
        <w:t>), capacità ritentiva della schiuma (poliuretano), gelificazione (</w:t>
      </w:r>
      <w:proofErr w:type="spellStart"/>
      <w:r w:rsidRPr="00FB172C">
        <w:rPr>
          <w:lang w:val="it-IT"/>
        </w:rPr>
        <w:t>idrocolloidi</w:t>
      </w:r>
      <w:proofErr w:type="spellEnd"/>
      <w:r w:rsidRPr="00FB172C">
        <w:rPr>
          <w:lang w:val="it-IT"/>
        </w:rPr>
        <w:t>). In tutte queste tecnologie l'essudato e i suoi componenti — proteasi, MMP-9, fibrina, residui necrotici, biofilm, batteri — restano a contatto con il letto della lesione per buona parte del tempo che intercorre fra due cambi di medicazione, fino al raggiungimento del punto di saturazione del materiale assorbente.</w:t>
      </w:r>
    </w:p>
    <w:p w14:paraId="10FD9C9C" w14:textId="77777777" w:rsidR="00C90E78" w:rsidRPr="00FB172C" w:rsidRDefault="00000000">
      <w:pPr>
        <w:rPr>
          <w:lang w:val="it-IT"/>
        </w:rPr>
      </w:pPr>
      <w:r w:rsidRPr="00FB172C">
        <w:rPr>
          <w:lang w:val="it-IT"/>
        </w:rPr>
        <w:t>Una volta raggiunta la saturazione, l'essudato in eccesso comincia a fuoriuscire lateralmente (strike-</w:t>
      </w:r>
      <w:proofErr w:type="spellStart"/>
      <w:r w:rsidRPr="00FB172C">
        <w:rPr>
          <w:lang w:val="it-IT"/>
        </w:rPr>
        <w:t>through</w:t>
      </w:r>
      <w:proofErr w:type="spellEnd"/>
      <w:r w:rsidRPr="00FB172C">
        <w:rPr>
          <w:lang w:val="it-IT"/>
        </w:rPr>
        <w:t xml:space="preserve">), generando macerazione </w:t>
      </w:r>
      <w:proofErr w:type="spellStart"/>
      <w:r w:rsidRPr="00FB172C">
        <w:rPr>
          <w:lang w:val="it-IT"/>
        </w:rPr>
        <w:t>perilesionale</w:t>
      </w:r>
      <w:proofErr w:type="spellEnd"/>
      <w:r w:rsidRPr="00FB172C">
        <w:rPr>
          <w:lang w:val="it-IT"/>
        </w:rPr>
        <w:t>, riduzione dell'efficacia terapeutica e necessità di cambi di medicazione più frequenti.</w:t>
      </w:r>
    </w:p>
    <w:p w14:paraId="6C6DC910" w14:textId="77777777" w:rsidR="00C90E78" w:rsidRPr="00FB172C" w:rsidRDefault="00000000">
      <w:pPr>
        <w:pStyle w:val="Titolo2"/>
        <w:rPr>
          <w:lang w:val="it-IT"/>
        </w:rPr>
      </w:pPr>
      <w:r w:rsidRPr="00FB172C">
        <w:rPr>
          <w:lang w:val="it-IT"/>
        </w:rPr>
        <w:t xml:space="preserve">1.2 Il meccanismo capillare attivo di </w:t>
      </w:r>
      <w:proofErr w:type="spellStart"/>
      <w:r w:rsidRPr="00FB172C">
        <w:rPr>
          <w:lang w:val="it-IT"/>
        </w:rPr>
        <w:t>Vacutex</w:t>
      </w:r>
      <w:proofErr w:type="spellEnd"/>
      <w:r w:rsidRPr="00FB172C">
        <w:rPr>
          <w:lang w:val="it-IT"/>
        </w:rPr>
        <w:t>®</w:t>
      </w:r>
    </w:p>
    <w:p w14:paraId="4AC75416" w14:textId="77777777" w:rsidR="00C90E78" w:rsidRPr="00FB172C" w:rsidRDefault="00000000">
      <w:pPr>
        <w:rPr>
          <w:lang w:val="it-IT"/>
        </w:rPr>
      </w:pPr>
      <w:proofErr w:type="spellStart"/>
      <w:r w:rsidRPr="00FB172C">
        <w:rPr>
          <w:lang w:val="it-IT"/>
        </w:rPr>
        <w:t>Vacutex</w:t>
      </w:r>
      <w:proofErr w:type="spellEnd"/>
      <w:r w:rsidRPr="00FB172C">
        <w:rPr>
          <w:lang w:val="it-IT"/>
        </w:rPr>
        <w:t xml:space="preserve">® opera secondo un principio del tutto diverso: la sua struttura tessile tridimensionale a tre strati con gradiente capillare progressivo genera spontaneamente una pressione sub-atmosferica di –68 mmHg al contatto con il letto della lesione (misurata in test di laboratorio indipendente — Breitwieser, </w:t>
      </w:r>
      <w:proofErr w:type="spellStart"/>
      <w:r w:rsidRPr="00FB172C">
        <w:rPr>
          <w:lang w:val="it-IT"/>
        </w:rPr>
        <w:t>Imeter</w:t>
      </w:r>
      <w:proofErr w:type="spellEnd"/>
      <w:r w:rsidRPr="00FB172C">
        <w:rPr>
          <w:lang w:val="it-IT"/>
        </w:rPr>
        <w:t xml:space="preserve"> Lab, 2020). Il dispositivo non funziona per assorbimento e non ha capacità ritentiva propria: si comporta come una pompa capillare che aspira continuativamente l'essudato dal letto della lesione e lo veicola verticalmente verso il lato esterno della medicazione. Il funzionamento del sistema richiede pertanto il mantenimento di un gradiente idrico fra l'interfaccia con la ferita e il lato esterno, che deve essere posto a contatto con una medicazione secondaria di tipo </w:t>
      </w:r>
      <w:proofErr w:type="spellStart"/>
      <w:r w:rsidRPr="00FB172C">
        <w:rPr>
          <w:lang w:val="it-IT"/>
        </w:rPr>
        <w:t>superassorbente</w:t>
      </w:r>
      <w:proofErr w:type="spellEnd"/>
      <w:r w:rsidRPr="00FB172C">
        <w:rPr>
          <w:lang w:val="it-IT"/>
        </w:rPr>
        <w:t xml:space="preserve"> (es. compresse </w:t>
      </w:r>
      <w:proofErr w:type="spellStart"/>
      <w:r w:rsidRPr="00FB172C">
        <w:rPr>
          <w:lang w:val="it-IT"/>
        </w:rPr>
        <w:t>superassorbenti</w:t>
      </w:r>
      <w:proofErr w:type="spellEnd"/>
      <w:r w:rsidRPr="00FB172C">
        <w:rPr>
          <w:lang w:val="it-IT"/>
        </w:rPr>
        <w:t xml:space="preserve"> SAP). L'essudato non viene quindi "trattenuto" nel corpo della medicazione, ma viene convogliato attivamente verso la secondaria, in modo concettualmente analogo a quanto avviene nei sistemi di terapia a pressione negativa (NPWT), ma senza necessità di apparecchiature elettromedicali, di tenuta adesiva e di alimentazione elettrica.</w:t>
      </w:r>
    </w:p>
    <w:p w14:paraId="5BF1B1C6" w14:textId="77777777" w:rsidR="00C90E78" w:rsidRPr="00FB172C" w:rsidRDefault="00000000">
      <w:pPr>
        <w:rPr>
          <w:lang w:val="it-IT"/>
        </w:rPr>
      </w:pPr>
      <w:r w:rsidRPr="00FB172C">
        <w:rPr>
          <w:lang w:val="it-IT"/>
        </w:rPr>
        <w:br w:type="page"/>
      </w:r>
    </w:p>
    <w:p w14:paraId="623DD457" w14:textId="77777777" w:rsidR="00C90E78" w:rsidRPr="00FB172C" w:rsidRDefault="00000000">
      <w:pPr>
        <w:pStyle w:val="Titolo1"/>
        <w:rPr>
          <w:lang w:val="it-IT"/>
        </w:rPr>
      </w:pPr>
      <w:r w:rsidRPr="00FB172C">
        <w:rPr>
          <w:lang w:val="it-IT"/>
        </w:rPr>
        <w:lastRenderedPageBreak/>
        <w:t xml:space="preserve">2. Vantaggi biologici dell'azione capillare attiva di </w:t>
      </w:r>
      <w:proofErr w:type="spellStart"/>
      <w:r w:rsidRPr="00FB172C">
        <w:rPr>
          <w:lang w:val="it-IT"/>
        </w:rPr>
        <w:t>Vacutex</w:t>
      </w:r>
      <w:proofErr w:type="spellEnd"/>
      <w:r w:rsidRPr="00FB172C">
        <w:rPr>
          <w:lang w:val="it-IT"/>
        </w:rPr>
        <w:t>®</w:t>
      </w:r>
    </w:p>
    <w:p w14:paraId="7907FE85" w14:textId="77777777" w:rsidR="00C90E78" w:rsidRPr="00FB172C" w:rsidRDefault="00000000">
      <w:pPr>
        <w:pStyle w:val="Titolo2"/>
        <w:rPr>
          <w:lang w:val="it-IT"/>
        </w:rPr>
      </w:pPr>
      <w:r w:rsidRPr="00FB172C">
        <w:rPr>
          <w:lang w:val="it-IT"/>
        </w:rPr>
        <w:t>2.1 Rimozione attiva di proteasi e MMP</w:t>
      </w:r>
    </w:p>
    <w:p w14:paraId="42BC2A41" w14:textId="77777777" w:rsidR="00C90E78" w:rsidRPr="00FB172C" w:rsidRDefault="00000000">
      <w:pPr>
        <w:rPr>
          <w:lang w:val="it-IT"/>
        </w:rPr>
      </w:pPr>
      <w:r w:rsidRPr="00FB172C">
        <w:rPr>
          <w:lang w:val="it-IT"/>
        </w:rPr>
        <w:t xml:space="preserve">Le ferite croniche sono caratterizzate da uno squilibrio fra metalloproteinasi della matrice (MMP, in particolare MMP-2 e MMP-9) e i loro inibitori tissutali (TIMP). Un eccesso di MMP degrada i fattori di crescita e la matrice extracellulare neoformata, perpetuando lo stato di cronicità. </w:t>
      </w:r>
      <w:proofErr w:type="spellStart"/>
      <w:r w:rsidRPr="00FB172C">
        <w:rPr>
          <w:lang w:val="it-IT"/>
        </w:rPr>
        <w:t>Vacutex</w:t>
      </w:r>
      <w:proofErr w:type="spellEnd"/>
      <w:r w:rsidRPr="00FB172C">
        <w:rPr>
          <w:lang w:val="it-IT"/>
        </w:rPr>
        <w:t>®, allontanando attivamente l'essudato, rimuove dal fondo della ferita anche le MMP in eccesso, contribuendo a riequilibrare il microambiente biochimico e a favorire la transizione dalla fase infiammatoria alla fase proliferativa.</w:t>
      </w:r>
    </w:p>
    <w:p w14:paraId="47ADD5DB" w14:textId="77777777" w:rsidR="00C90E78" w:rsidRPr="00FB172C" w:rsidRDefault="00000000">
      <w:pPr>
        <w:pStyle w:val="Titolo2"/>
        <w:rPr>
          <w:lang w:val="it-IT"/>
        </w:rPr>
      </w:pPr>
      <w:r w:rsidRPr="00FB172C">
        <w:rPr>
          <w:lang w:val="it-IT"/>
        </w:rPr>
        <w:t>2.2 Rimozione di biofilm e detersione meccanica continua</w:t>
      </w:r>
    </w:p>
    <w:p w14:paraId="72F20F04" w14:textId="77777777" w:rsidR="00C90E78" w:rsidRPr="00FB172C" w:rsidRDefault="00000000">
      <w:pPr>
        <w:rPr>
          <w:lang w:val="it-IT"/>
        </w:rPr>
      </w:pPr>
      <w:r w:rsidRPr="00FB172C">
        <w:rPr>
          <w:lang w:val="it-IT"/>
        </w:rPr>
        <w:t xml:space="preserve">Il biofilm batterico è oggi riconosciuto come uno dei principali fattori di cronicizzazione delle ferite. L'azione capillare continuativa di </w:t>
      </w:r>
      <w:proofErr w:type="spellStart"/>
      <w:r w:rsidRPr="00FB172C">
        <w:rPr>
          <w:lang w:val="it-IT"/>
        </w:rPr>
        <w:t>Vacutex</w:t>
      </w:r>
      <w:proofErr w:type="spellEnd"/>
      <w:r w:rsidRPr="00FB172C">
        <w:rPr>
          <w:lang w:val="it-IT"/>
        </w:rPr>
        <w:t xml:space="preserve">® esercita una detersione meccanica costante, ostacolando il riformarsi del biofilm e supportando le pratiche di </w:t>
      </w:r>
      <w:proofErr w:type="spellStart"/>
      <w:r w:rsidRPr="00FB172C">
        <w:rPr>
          <w:lang w:val="it-IT"/>
        </w:rPr>
        <w:t>wound</w:t>
      </w:r>
      <w:proofErr w:type="spellEnd"/>
      <w:r w:rsidRPr="00FB172C">
        <w:rPr>
          <w:lang w:val="it-IT"/>
        </w:rPr>
        <w:t xml:space="preserve"> bed </w:t>
      </w:r>
      <w:proofErr w:type="spellStart"/>
      <w:r w:rsidRPr="00FB172C">
        <w:rPr>
          <w:lang w:val="it-IT"/>
        </w:rPr>
        <w:t>preparation</w:t>
      </w:r>
      <w:proofErr w:type="spellEnd"/>
      <w:r w:rsidRPr="00FB172C">
        <w:rPr>
          <w:lang w:val="it-IT"/>
        </w:rPr>
        <w:t xml:space="preserve"> secondo il modello TIME / TIMERS. Tale meccanismo è documentato dallo studio di Wolcott (2012) condotto da uno dei principali esperti internazionali del biofilm nelle ferite croniche.</w:t>
      </w:r>
    </w:p>
    <w:p w14:paraId="4B371233" w14:textId="77777777" w:rsidR="00C90E78" w:rsidRPr="00FB172C" w:rsidRDefault="00000000">
      <w:pPr>
        <w:pStyle w:val="Titolo2"/>
        <w:rPr>
          <w:lang w:val="it-IT"/>
        </w:rPr>
      </w:pPr>
      <w:r w:rsidRPr="00FB172C">
        <w:rPr>
          <w:lang w:val="it-IT"/>
        </w:rPr>
        <w:t xml:space="preserve">2.3 Promozione del </w:t>
      </w:r>
      <w:proofErr w:type="spellStart"/>
      <w:r w:rsidRPr="00FB172C">
        <w:rPr>
          <w:lang w:val="it-IT"/>
        </w:rPr>
        <w:t>debridement</w:t>
      </w:r>
      <w:proofErr w:type="spellEnd"/>
      <w:r w:rsidRPr="00FB172C">
        <w:rPr>
          <w:lang w:val="it-IT"/>
        </w:rPr>
        <w:t xml:space="preserve"> autolitico</w:t>
      </w:r>
    </w:p>
    <w:p w14:paraId="1AC21136" w14:textId="77777777" w:rsidR="00C90E78" w:rsidRPr="00FB172C" w:rsidRDefault="00000000">
      <w:pPr>
        <w:rPr>
          <w:lang w:val="it-IT"/>
        </w:rPr>
      </w:pPr>
      <w:r w:rsidRPr="00FB172C">
        <w:rPr>
          <w:lang w:val="it-IT"/>
        </w:rPr>
        <w:t xml:space="preserve">L'azione capillare di </w:t>
      </w:r>
      <w:proofErr w:type="spellStart"/>
      <w:r w:rsidRPr="00FB172C">
        <w:rPr>
          <w:lang w:val="it-IT"/>
        </w:rPr>
        <w:t>Vacutex</w:t>
      </w:r>
      <w:proofErr w:type="spellEnd"/>
      <w:r w:rsidRPr="00FB172C">
        <w:rPr>
          <w:lang w:val="it-IT"/>
        </w:rPr>
        <w:t xml:space="preserve">® mantiene il letto della lesione in un microambiente umido ma non saturo, condizione ottimale per l'attività degli enzimi proteolitici endogeni che operano il </w:t>
      </w:r>
      <w:proofErr w:type="spellStart"/>
      <w:r w:rsidRPr="00FB172C">
        <w:rPr>
          <w:lang w:val="it-IT"/>
        </w:rPr>
        <w:t>debridement</w:t>
      </w:r>
      <w:proofErr w:type="spellEnd"/>
      <w:r w:rsidRPr="00FB172C">
        <w:rPr>
          <w:lang w:val="it-IT"/>
        </w:rPr>
        <w:t xml:space="preserve"> autolitico. A differenza di alcune medicazioni occlusive (</w:t>
      </w:r>
      <w:proofErr w:type="spellStart"/>
      <w:r w:rsidRPr="00FB172C">
        <w:rPr>
          <w:lang w:val="it-IT"/>
        </w:rPr>
        <w:t>idrocolloidi</w:t>
      </w:r>
      <w:proofErr w:type="spellEnd"/>
      <w:r w:rsidRPr="00FB172C">
        <w:rPr>
          <w:lang w:val="it-IT"/>
        </w:rPr>
        <w:t xml:space="preserve">, idrogel) che possono favorire la macerazione, </w:t>
      </w:r>
      <w:proofErr w:type="spellStart"/>
      <w:r w:rsidRPr="00FB172C">
        <w:rPr>
          <w:lang w:val="it-IT"/>
        </w:rPr>
        <w:t>Vacutex</w:t>
      </w:r>
      <w:proofErr w:type="spellEnd"/>
      <w:r w:rsidRPr="00FB172C">
        <w:rPr>
          <w:lang w:val="it-IT"/>
        </w:rPr>
        <w:t>® bilancia idratazione e drenaggio.</w:t>
      </w:r>
    </w:p>
    <w:p w14:paraId="221B0090" w14:textId="77777777" w:rsidR="00C90E78" w:rsidRPr="00FB172C" w:rsidRDefault="00000000">
      <w:pPr>
        <w:pStyle w:val="Titolo2"/>
        <w:rPr>
          <w:lang w:val="it-IT"/>
        </w:rPr>
      </w:pPr>
      <w:r w:rsidRPr="00FB172C">
        <w:rPr>
          <w:lang w:val="it-IT"/>
        </w:rPr>
        <w:t>2.4 Riduzione della carica batterica senza antimicrobici</w:t>
      </w:r>
    </w:p>
    <w:p w14:paraId="00F153C8" w14:textId="77777777" w:rsidR="00C90E78" w:rsidRPr="00FB172C" w:rsidRDefault="00000000">
      <w:pPr>
        <w:rPr>
          <w:lang w:val="it-IT"/>
        </w:rPr>
      </w:pPr>
      <w:r w:rsidRPr="00FB172C">
        <w:rPr>
          <w:lang w:val="it-IT"/>
        </w:rPr>
        <w:t xml:space="preserve">L'allontanamento attivo dei batteri planctonici dal letto della lesione operato da </w:t>
      </w:r>
      <w:proofErr w:type="spellStart"/>
      <w:r w:rsidRPr="00FB172C">
        <w:rPr>
          <w:lang w:val="it-IT"/>
        </w:rPr>
        <w:t>Vacutex</w:t>
      </w:r>
      <w:proofErr w:type="spellEnd"/>
      <w:r w:rsidRPr="00FB172C">
        <w:rPr>
          <w:lang w:val="it-IT"/>
        </w:rPr>
        <w:t xml:space="preserve">® consente di ridurre la carica batterica senza ricorrere ad agenti antimicrobici locali (argento, PHMB, iodio). Questo aspetto ha rilievo crescente nell'ambito delle strategie di </w:t>
      </w:r>
      <w:proofErr w:type="spellStart"/>
      <w:r w:rsidRPr="00FB172C">
        <w:rPr>
          <w:lang w:val="it-IT"/>
        </w:rPr>
        <w:t>antimicrobial</w:t>
      </w:r>
      <w:proofErr w:type="spellEnd"/>
      <w:r w:rsidRPr="00FB172C">
        <w:rPr>
          <w:lang w:val="it-IT"/>
        </w:rPr>
        <w:t xml:space="preserve"> </w:t>
      </w:r>
      <w:proofErr w:type="spellStart"/>
      <w:r w:rsidRPr="00FB172C">
        <w:rPr>
          <w:lang w:val="it-IT"/>
        </w:rPr>
        <w:t>stewardship</w:t>
      </w:r>
      <w:proofErr w:type="spellEnd"/>
      <w:r w:rsidRPr="00FB172C">
        <w:rPr>
          <w:lang w:val="it-IT"/>
        </w:rPr>
        <w:t xml:space="preserve"> e di prevenzione dell'antibiotico-resistenza nelle ferite croniche, perfettamente in linea con le indicazioni dell'OMS e del Piano Nazionale di Contrasto all'Antimicrobico-Resistenza (PNCAR).</w:t>
      </w:r>
    </w:p>
    <w:p w14:paraId="4527CD5D" w14:textId="77777777" w:rsidR="00C90E78" w:rsidRPr="00FB172C" w:rsidRDefault="00000000">
      <w:pPr>
        <w:pStyle w:val="Titolo2"/>
        <w:rPr>
          <w:lang w:val="it-IT"/>
        </w:rPr>
      </w:pPr>
      <w:r w:rsidRPr="00FB172C">
        <w:rPr>
          <w:lang w:val="it-IT"/>
        </w:rPr>
        <w:t xml:space="preserve">2.5 Assenza di macerazione </w:t>
      </w:r>
      <w:proofErr w:type="spellStart"/>
      <w:r w:rsidRPr="00FB172C">
        <w:rPr>
          <w:lang w:val="it-IT"/>
        </w:rPr>
        <w:t>perilesionale</w:t>
      </w:r>
      <w:proofErr w:type="spellEnd"/>
    </w:p>
    <w:p w14:paraId="22FE3AFC" w14:textId="77777777" w:rsidR="00C90E78" w:rsidRPr="00FB172C" w:rsidRDefault="00000000">
      <w:pPr>
        <w:rPr>
          <w:lang w:val="it-IT"/>
        </w:rPr>
      </w:pPr>
      <w:r w:rsidRPr="00FB172C">
        <w:rPr>
          <w:lang w:val="it-IT"/>
        </w:rPr>
        <w:t xml:space="preserve">Trasferendo l'essudato in direzione verticale verso gli strati superiori della medicazione e non lateralmente, </w:t>
      </w:r>
      <w:proofErr w:type="spellStart"/>
      <w:r w:rsidRPr="00FB172C">
        <w:rPr>
          <w:lang w:val="it-IT"/>
        </w:rPr>
        <w:t>Vacutex</w:t>
      </w:r>
      <w:proofErr w:type="spellEnd"/>
      <w:r w:rsidRPr="00FB172C">
        <w:rPr>
          <w:lang w:val="it-IT"/>
        </w:rPr>
        <w:t xml:space="preserve">® previene il principale fattore di macerazione della cute </w:t>
      </w:r>
      <w:proofErr w:type="spellStart"/>
      <w:r w:rsidRPr="00FB172C">
        <w:rPr>
          <w:lang w:val="it-IT"/>
        </w:rPr>
        <w:t>perilesionale</w:t>
      </w:r>
      <w:proofErr w:type="spellEnd"/>
      <w:r w:rsidRPr="00FB172C">
        <w:rPr>
          <w:lang w:val="it-IT"/>
        </w:rPr>
        <w:t xml:space="preserve">, frequente con schiume, </w:t>
      </w:r>
      <w:proofErr w:type="spellStart"/>
      <w:r w:rsidRPr="00FB172C">
        <w:rPr>
          <w:lang w:val="it-IT"/>
        </w:rPr>
        <w:t>idrofibre</w:t>
      </w:r>
      <w:proofErr w:type="spellEnd"/>
      <w:r w:rsidRPr="00FB172C">
        <w:rPr>
          <w:lang w:val="it-IT"/>
        </w:rPr>
        <w:t xml:space="preserve"> e </w:t>
      </w:r>
      <w:proofErr w:type="spellStart"/>
      <w:r w:rsidRPr="00FB172C">
        <w:rPr>
          <w:lang w:val="it-IT"/>
        </w:rPr>
        <w:t>idrocolloidi</w:t>
      </w:r>
      <w:proofErr w:type="spellEnd"/>
      <w:r w:rsidRPr="00FB172C">
        <w:rPr>
          <w:lang w:val="it-IT"/>
        </w:rPr>
        <w:t xml:space="preserve"> quando l'essudato raggiunge il punto di saturazione.</w:t>
      </w:r>
    </w:p>
    <w:p w14:paraId="0E299E75" w14:textId="77777777" w:rsidR="00C90E78" w:rsidRPr="00FB172C" w:rsidRDefault="00000000">
      <w:pPr>
        <w:rPr>
          <w:lang w:val="it-IT"/>
        </w:rPr>
      </w:pPr>
      <w:r w:rsidRPr="00FB172C">
        <w:rPr>
          <w:lang w:val="it-IT"/>
        </w:rPr>
        <w:br w:type="page"/>
      </w:r>
    </w:p>
    <w:p w14:paraId="6DB097DD" w14:textId="77777777" w:rsidR="00C90E78" w:rsidRPr="00FB172C" w:rsidRDefault="00000000">
      <w:pPr>
        <w:pStyle w:val="Titolo1"/>
        <w:rPr>
          <w:lang w:val="it-IT"/>
        </w:rPr>
      </w:pPr>
      <w:r w:rsidRPr="00FB172C">
        <w:rPr>
          <w:lang w:val="it-IT"/>
        </w:rPr>
        <w:lastRenderedPageBreak/>
        <w:t>3. Tabella sinottica di confronto con le principali medicazioni avanzate</w:t>
      </w:r>
    </w:p>
    <w:tbl>
      <w:tblPr>
        <w:tblStyle w:val="Grigliachiara-Colore1"/>
        <w:tblW w:w="0" w:type="auto"/>
        <w:tblLook w:val="04A0" w:firstRow="1" w:lastRow="0" w:firstColumn="1" w:lastColumn="0" w:noHBand="0" w:noVBand="1"/>
      </w:tblPr>
      <w:tblGrid>
        <w:gridCol w:w="2430"/>
        <w:gridCol w:w="2432"/>
        <w:gridCol w:w="2432"/>
        <w:gridCol w:w="2432"/>
      </w:tblGrid>
      <w:tr w:rsidR="00C90E78" w14:paraId="49D505F4" w14:textId="77777777" w:rsidTr="00C90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2ABEDD51" w14:textId="77777777" w:rsidR="00C90E78" w:rsidRDefault="00000000">
            <w:proofErr w:type="spellStart"/>
            <w:r>
              <w:t>Parametro</w:t>
            </w:r>
            <w:proofErr w:type="spellEnd"/>
          </w:p>
        </w:tc>
        <w:tc>
          <w:tcPr>
            <w:tcW w:w="2436" w:type="dxa"/>
          </w:tcPr>
          <w:p w14:paraId="773D32C8" w14:textId="77777777" w:rsidR="00C90E78" w:rsidRDefault="00000000">
            <w:pPr>
              <w:cnfStyle w:val="100000000000" w:firstRow="1" w:lastRow="0" w:firstColumn="0" w:lastColumn="0" w:oddVBand="0" w:evenVBand="0" w:oddHBand="0" w:evenHBand="0" w:firstRowFirstColumn="0" w:firstRowLastColumn="0" w:lastRowFirstColumn="0" w:lastRowLastColumn="0"/>
            </w:pPr>
            <w:r>
              <w:t>Schiume / Idrofibre / Alginati</w:t>
            </w:r>
          </w:p>
        </w:tc>
        <w:tc>
          <w:tcPr>
            <w:tcW w:w="2436" w:type="dxa"/>
          </w:tcPr>
          <w:p w14:paraId="01D21201" w14:textId="77777777" w:rsidR="00C90E78" w:rsidRDefault="00000000">
            <w:pPr>
              <w:cnfStyle w:val="100000000000" w:firstRow="1" w:lastRow="0" w:firstColumn="0" w:lastColumn="0" w:oddVBand="0" w:evenVBand="0" w:oddHBand="0" w:evenHBand="0" w:firstRowFirstColumn="0" w:firstRowLastColumn="0" w:lastRowFirstColumn="0" w:lastRowLastColumn="0"/>
            </w:pPr>
            <w:r>
              <w:t>Medicazioni antimicrobiche (Ag, PHMB)</w:t>
            </w:r>
          </w:p>
        </w:tc>
        <w:tc>
          <w:tcPr>
            <w:tcW w:w="2436" w:type="dxa"/>
          </w:tcPr>
          <w:p w14:paraId="730960D7" w14:textId="77777777" w:rsidR="00C90E78" w:rsidRDefault="00000000">
            <w:pPr>
              <w:cnfStyle w:val="100000000000" w:firstRow="1" w:lastRow="0" w:firstColumn="0" w:lastColumn="0" w:oddVBand="0" w:evenVBand="0" w:oddHBand="0" w:evenHBand="0" w:firstRowFirstColumn="0" w:firstRowLastColumn="0" w:lastRowFirstColumn="0" w:lastRowLastColumn="0"/>
            </w:pPr>
            <w:r>
              <w:t>Vacutex®</w:t>
            </w:r>
          </w:p>
        </w:tc>
      </w:tr>
      <w:tr w:rsidR="00C90E78" w14:paraId="79D48FB6"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0C523723" w14:textId="77777777" w:rsidR="00C90E78" w:rsidRDefault="00000000">
            <w:r>
              <w:t>Meccanismo di gestione dell'essudato</w:t>
            </w:r>
          </w:p>
        </w:tc>
        <w:tc>
          <w:tcPr>
            <w:tcW w:w="2436" w:type="dxa"/>
          </w:tcPr>
          <w:p w14:paraId="4919F6DB" w14:textId="77777777" w:rsidR="00C90E78" w:rsidRDefault="00000000">
            <w:pPr>
              <w:cnfStyle w:val="000000100000" w:firstRow="0" w:lastRow="0" w:firstColumn="0" w:lastColumn="0" w:oddVBand="0" w:evenVBand="0" w:oddHBand="1" w:evenHBand="0" w:firstRowFirstColumn="0" w:firstRowLastColumn="0" w:lastRowFirstColumn="0" w:lastRowLastColumn="0"/>
            </w:pPr>
            <w:r>
              <w:t>Assorbimento passivo (saturazione progressiva)</w:t>
            </w:r>
          </w:p>
        </w:tc>
        <w:tc>
          <w:tcPr>
            <w:tcW w:w="2436" w:type="dxa"/>
          </w:tcPr>
          <w:p w14:paraId="042011CB" w14:textId="77777777" w:rsidR="00C90E78" w:rsidRDefault="00000000">
            <w:pPr>
              <w:cnfStyle w:val="000000100000" w:firstRow="0" w:lastRow="0" w:firstColumn="0" w:lastColumn="0" w:oddVBand="0" w:evenVBand="0" w:oddHBand="1" w:evenHBand="0" w:firstRowFirstColumn="0" w:firstRowLastColumn="0" w:lastRowFirstColumn="0" w:lastRowLastColumn="0"/>
            </w:pPr>
            <w:r>
              <w:t>Assorbimento passivo + rilascio antimicrobico</w:t>
            </w:r>
          </w:p>
        </w:tc>
        <w:tc>
          <w:tcPr>
            <w:tcW w:w="2436" w:type="dxa"/>
          </w:tcPr>
          <w:p w14:paraId="5D57513E" w14:textId="77777777" w:rsidR="00C90E78" w:rsidRDefault="00000000">
            <w:pPr>
              <w:cnfStyle w:val="000000100000" w:firstRow="0" w:lastRow="0" w:firstColumn="0" w:lastColumn="0" w:oddVBand="0" w:evenVBand="0" w:oddHBand="1" w:evenHBand="0" w:firstRowFirstColumn="0" w:firstRowLastColumn="0" w:lastRowFirstColumn="0" w:lastRowLastColumn="0"/>
            </w:pPr>
            <w:r>
              <w:t>Aspirazione capillare attiva (–68 mmHg)</w:t>
            </w:r>
          </w:p>
        </w:tc>
      </w:tr>
      <w:tr w:rsidR="00C90E78" w:rsidRPr="00FB172C" w14:paraId="73531428"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6A9A314D" w14:textId="77777777" w:rsidR="00C90E78" w:rsidRDefault="00000000">
            <w:r>
              <w:t>Direzione del trasporto dell'essudato</w:t>
            </w:r>
          </w:p>
        </w:tc>
        <w:tc>
          <w:tcPr>
            <w:tcW w:w="2436" w:type="dxa"/>
          </w:tcPr>
          <w:p w14:paraId="38623E4D" w14:textId="77777777" w:rsidR="00C90E78" w:rsidRPr="00FB172C" w:rsidRDefault="00000000">
            <w:pPr>
              <w:cnfStyle w:val="000000010000" w:firstRow="0" w:lastRow="0" w:firstColumn="0" w:lastColumn="0" w:oddVBand="0" w:evenVBand="0" w:oddHBand="0" w:evenHBand="1" w:firstRowFirstColumn="0" w:firstRowLastColumn="0" w:lastRowFirstColumn="0" w:lastRowLastColumn="0"/>
              <w:rPr>
                <w:lang w:val="it-IT"/>
              </w:rPr>
            </w:pPr>
            <w:r w:rsidRPr="00FB172C">
              <w:rPr>
                <w:lang w:val="it-IT"/>
              </w:rPr>
              <w:t>Multidirezionale (rischio di strike-</w:t>
            </w:r>
            <w:proofErr w:type="spellStart"/>
            <w:r w:rsidRPr="00FB172C">
              <w:rPr>
                <w:lang w:val="it-IT"/>
              </w:rPr>
              <w:t>through</w:t>
            </w:r>
            <w:proofErr w:type="spellEnd"/>
            <w:r w:rsidRPr="00FB172C">
              <w:rPr>
                <w:lang w:val="it-IT"/>
              </w:rPr>
              <w:t xml:space="preserve"> laterale)</w:t>
            </w:r>
          </w:p>
        </w:tc>
        <w:tc>
          <w:tcPr>
            <w:tcW w:w="2436" w:type="dxa"/>
          </w:tcPr>
          <w:p w14:paraId="2BFCD5F5" w14:textId="77777777" w:rsidR="00C90E78" w:rsidRDefault="00000000">
            <w:pPr>
              <w:cnfStyle w:val="000000010000" w:firstRow="0" w:lastRow="0" w:firstColumn="0" w:lastColumn="0" w:oddVBand="0" w:evenVBand="0" w:oddHBand="0" w:evenHBand="1" w:firstRowFirstColumn="0" w:firstRowLastColumn="0" w:lastRowFirstColumn="0" w:lastRowLastColumn="0"/>
            </w:pPr>
            <w:proofErr w:type="spellStart"/>
            <w:r>
              <w:t>Multidirezionale</w:t>
            </w:r>
            <w:proofErr w:type="spellEnd"/>
          </w:p>
        </w:tc>
        <w:tc>
          <w:tcPr>
            <w:tcW w:w="2436" w:type="dxa"/>
          </w:tcPr>
          <w:p w14:paraId="1DA8E482" w14:textId="77777777" w:rsidR="00C90E78" w:rsidRPr="00FB172C" w:rsidRDefault="00000000">
            <w:pPr>
              <w:cnfStyle w:val="000000010000" w:firstRow="0" w:lastRow="0" w:firstColumn="0" w:lastColumn="0" w:oddVBand="0" w:evenVBand="0" w:oddHBand="0" w:evenHBand="1" w:firstRowFirstColumn="0" w:firstRowLastColumn="0" w:lastRowFirstColumn="0" w:lastRowLastColumn="0"/>
              <w:rPr>
                <w:lang w:val="it-IT"/>
              </w:rPr>
            </w:pPr>
            <w:r w:rsidRPr="00FB172C">
              <w:rPr>
                <w:lang w:val="it-IT"/>
              </w:rPr>
              <w:t>Unidirezionale verticale, dal fondo verso l'esterno</w:t>
            </w:r>
          </w:p>
        </w:tc>
      </w:tr>
      <w:tr w:rsidR="00C90E78" w14:paraId="09E8DB0D"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553946EE" w14:textId="77777777" w:rsidR="00C90E78" w:rsidRPr="00FB172C" w:rsidRDefault="00000000">
            <w:pPr>
              <w:rPr>
                <w:lang w:val="it-IT"/>
              </w:rPr>
            </w:pPr>
            <w:r w:rsidRPr="00FB172C">
              <w:rPr>
                <w:lang w:val="it-IT"/>
              </w:rPr>
              <w:t>Rimozione attiva di MMP e detriti dal letto della lesione</w:t>
            </w:r>
          </w:p>
        </w:tc>
        <w:tc>
          <w:tcPr>
            <w:tcW w:w="2436" w:type="dxa"/>
          </w:tcPr>
          <w:p w14:paraId="1162F0CE" w14:textId="77777777" w:rsidR="00C90E78" w:rsidRDefault="00000000">
            <w:pPr>
              <w:cnfStyle w:val="000000100000" w:firstRow="0" w:lastRow="0" w:firstColumn="0" w:lastColumn="0" w:oddVBand="0" w:evenVBand="0" w:oddHBand="1" w:evenHBand="0" w:firstRowFirstColumn="0" w:firstRowLastColumn="0" w:lastRowFirstColumn="0" w:lastRowLastColumn="0"/>
            </w:pPr>
            <w:r>
              <w:t>No</w:t>
            </w:r>
          </w:p>
        </w:tc>
        <w:tc>
          <w:tcPr>
            <w:tcW w:w="2436" w:type="dxa"/>
          </w:tcPr>
          <w:p w14:paraId="1BBCC83C" w14:textId="77777777" w:rsidR="00C90E78" w:rsidRDefault="00000000">
            <w:pPr>
              <w:cnfStyle w:val="000000100000" w:firstRow="0" w:lastRow="0" w:firstColumn="0" w:lastColumn="0" w:oddVBand="0" w:evenVBand="0" w:oddHBand="1" w:evenHBand="0" w:firstRowFirstColumn="0" w:firstRowLastColumn="0" w:lastRowFirstColumn="0" w:lastRowLastColumn="0"/>
            </w:pPr>
            <w:r>
              <w:t>No</w:t>
            </w:r>
          </w:p>
        </w:tc>
        <w:tc>
          <w:tcPr>
            <w:tcW w:w="2436" w:type="dxa"/>
          </w:tcPr>
          <w:p w14:paraId="345A5E85" w14:textId="77777777" w:rsidR="00C90E78" w:rsidRDefault="00000000">
            <w:pPr>
              <w:cnfStyle w:val="000000100000" w:firstRow="0" w:lastRow="0" w:firstColumn="0" w:lastColumn="0" w:oddVBand="0" w:evenVBand="0" w:oddHBand="1" w:evenHBand="0" w:firstRowFirstColumn="0" w:firstRowLastColumn="0" w:lastRowFirstColumn="0" w:lastRowLastColumn="0"/>
            </w:pPr>
            <w:r>
              <w:t>Sì</w:t>
            </w:r>
          </w:p>
        </w:tc>
      </w:tr>
      <w:tr w:rsidR="00C90E78" w14:paraId="02392AE6"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4528472E" w14:textId="77777777" w:rsidR="00C90E78" w:rsidRDefault="00000000">
            <w:r>
              <w:t>Effetto sul biofilm</w:t>
            </w:r>
          </w:p>
        </w:tc>
        <w:tc>
          <w:tcPr>
            <w:tcW w:w="2436" w:type="dxa"/>
          </w:tcPr>
          <w:p w14:paraId="353F9829" w14:textId="77777777" w:rsidR="00C90E78" w:rsidRPr="00FB172C" w:rsidRDefault="00000000">
            <w:pPr>
              <w:cnfStyle w:val="000000010000" w:firstRow="0" w:lastRow="0" w:firstColumn="0" w:lastColumn="0" w:oddVBand="0" w:evenVBand="0" w:oddHBand="0" w:evenHBand="1" w:firstRowFirstColumn="0" w:firstRowLastColumn="0" w:lastRowFirstColumn="0" w:lastRowLastColumn="0"/>
              <w:rPr>
                <w:lang w:val="it-IT"/>
              </w:rPr>
            </w:pPr>
            <w:r w:rsidRPr="00FB172C">
              <w:rPr>
                <w:lang w:val="it-IT"/>
              </w:rPr>
              <w:t>Minimo (necessita di antimicrobici associati)</w:t>
            </w:r>
          </w:p>
        </w:tc>
        <w:tc>
          <w:tcPr>
            <w:tcW w:w="2436" w:type="dxa"/>
          </w:tcPr>
          <w:p w14:paraId="63BD3EAD" w14:textId="77777777" w:rsidR="00C90E78" w:rsidRPr="00FB172C" w:rsidRDefault="00000000">
            <w:pPr>
              <w:cnfStyle w:val="000000010000" w:firstRow="0" w:lastRow="0" w:firstColumn="0" w:lastColumn="0" w:oddVBand="0" w:evenVBand="0" w:oddHBand="0" w:evenHBand="1" w:firstRowFirstColumn="0" w:firstRowLastColumn="0" w:lastRowFirstColumn="0" w:lastRowLastColumn="0"/>
              <w:rPr>
                <w:lang w:val="it-IT"/>
              </w:rPr>
            </w:pPr>
            <w:r w:rsidRPr="00FB172C">
              <w:rPr>
                <w:lang w:val="it-IT"/>
              </w:rPr>
              <w:t>Effetto antimicrobico locale, non meccanico</w:t>
            </w:r>
          </w:p>
        </w:tc>
        <w:tc>
          <w:tcPr>
            <w:tcW w:w="2436" w:type="dxa"/>
          </w:tcPr>
          <w:p w14:paraId="6E1A4E42" w14:textId="77777777" w:rsidR="00C90E78" w:rsidRDefault="00000000">
            <w:pPr>
              <w:cnfStyle w:val="000000010000" w:firstRow="0" w:lastRow="0" w:firstColumn="0" w:lastColumn="0" w:oddVBand="0" w:evenVBand="0" w:oddHBand="0" w:evenHBand="1" w:firstRowFirstColumn="0" w:firstRowLastColumn="0" w:lastRowFirstColumn="0" w:lastRowLastColumn="0"/>
            </w:pPr>
            <w:proofErr w:type="spellStart"/>
            <w:r>
              <w:t>Detersione</w:t>
            </w:r>
            <w:proofErr w:type="spellEnd"/>
            <w:r>
              <w:t xml:space="preserve"> </w:t>
            </w:r>
            <w:proofErr w:type="spellStart"/>
            <w:r>
              <w:t>meccanica</w:t>
            </w:r>
            <w:proofErr w:type="spellEnd"/>
            <w:r>
              <w:t xml:space="preserve"> continua (Wolcott 2012)</w:t>
            </w:r>
          </w:p>
        </w:tc>
      </w:tr>
      <w:tr w:rsidR="00C90E78" w14:paraId="3FE91C7B"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662F62D7" w14:textId="77777777" w:rsidR="00C90E78" w:rsidRDefault="00000000">
            <w:r>
              <w:t>Macerazione perilesionale</w:t>
            </w:r>
          </w:p>
        </w:tc>
        <w:tc>
          <w:tcPr>
            <w:tcW w:w="2436" w:type="dxa"/>
          </w:tcPr>
          <w:p w14:paraId="42EFAF2B" w14:textId="77777777" w:rsidR="00C90E78" w:rsidRDefault="00000000">
            <w:pPr>
              <w:cnfStyle w:val="000000100000" w:firstRow="0" w:lastRow="0" w:firstColumn="0" w:lastColumn="0" w:oddVBand="0" w:evenVBand="0" w:oddHBand="1" w:evenHBand="0" w:firstRowFirstColumn="0" w:firstRowLastColumn="0" w:lastRowFirstColumn="0" w:lastRowLastColumn="0"/>
            </w:pPr>
            <w:r>
              <w:t>Rischio elevato a saturazione</w:t>
            </w:r>
          </w:p>
        </w:tc>
        <w:tc>
          <w:tcPr>
            <w:tcW w:w="2436" w:type="dxa"/>
          </w:tcPr>
          <w:p w14:paraId="001FE608" w14:textId="77777777" w:rsidR="00C90E78" w:rsidRDefault="00000000">
            <w:pPr>
              <w:cnfStyle w:val="000000100000" w:firstRow="0" w:lastRow="0" w:firstColumn="0" w:lastColumn="0" w:oddVBand="0" w:evenVBand="0" w:oddHBand="1" w:evenHBand="0" w:firstRowFirstColumn="0" w:firstRowLastColumn="0" w:lastRowFirstColumn="0" w:lastRowLastColumn="0"/>
            </w:pPr>
            <w:r>
              <w:t>Rischio elevato a saturazione</w:t>
            </w:r>
          </w:p>
        </w:tc>
        <w:tc>
          <w:tcPr>
            <w:tcW w:w="2436" w:type="dxa"/>
          </w:tcPr>
          <w:p w14:paraId="62C8797A" w14:textId="77777777" w:rsidR="00C90E78" w:rsidRDefault="00000000">
            <w:pPr>
              <w:cnfStyle w:val="000000100000" w:firstRow="0" w:lastRow="0" w:firstColumn="0" w:lastColumn="0" w:oddVBand="0" w:evenVBand="0" w:oddHBand="1" w:evenHBand="0" w:firstRowFirstColumn="0" w:firstRowLastColumn="0" w:lastRowFirstColumn="0" w:lastRowLastColumn="0"/>
            </w:pPr>
            <w:r>
              <w:t>Trascurabile</w:t>
            </w:r>
          </w:p>
        </w:tc>
      </w:tr>
      <w:tr w:rsidR="00C90E78" w14:paraId="6904972A"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6CF676C5" w14:textId="77777777" w:rsidR="00C90E78" w:rsidRDefault="00000000">
            <w:r>
              <w:t>Frequenza media di cambio</w:t>
            </w:r>
          </w:p>
        </w:tc>
        <w:tc>
          <w:tcPr>
            <w:tcW w:w="2436" w:type="dxa"/>
          </w:tcPr>
          <w:p w14:paraId="46374679" w14:textId="77777777" w:rsidR="00C90E78" w:rsidRPr="00FB172C" w:rsidRDefault="00000000">
            <w:pPr>
              <w:cnfStyle w:val="000000010000" w:firstRow="0" w:lastRow="0" w:firstColumn="0" w:lastColumn="0" w:oddVBand="0" w:evenVBand="0" w:oddHBand="0" w:evenHBand="1" w:firstRowFirstColumn="0" w:firstRowLastColumn="0" w:lastRowFirstColumn="0" w:lastRowLastColumn="0"/>
              <w:rPr>
                <w:lang w:val="it-IT"/>
              </w:rPr>
            </w:pPr>
            <w:r w:rsidRPr="00FB172C">
              <w:rPr>
                <w:lang w:val="it-IT"/>
              </w:rPr>
              <w:t>Ogni 24-72 ore (giornaliero in lesioni essudanti)</w:t>
            </w:r>
          </w:p>
        </w:tc>
        <w:tc>
          <w:tcPr>
            <w:tcW w:w="2436" w:type="dxa"/>
          </w:tcPr>
          <w:p w14:paraId="519760CE" w14:textId="77777777" w:rsidR="00C90E78" w:rsidRDefault="00000000">
            <w:pPr>
              <w:cnfStyle w:val="000000010000" w:firstRow="0" w:lastRow="0" w:firstColumn="0" w:lastColumn="0" w:oddVBand="0" w:evenVBand="0" w:oddHBand="0" w:evenHBand="1" w:firstRowFirstColumn="0" w:firstRowLastColumn="0" w:lastRowFirstColumn="0" w:lastRowLastColumn="0"/>
            </w:pPr>
            <w:r>
              <w:t>Ogni 24-72 ore</w:t>
            </w:r>
          </w:p>
        </w:tc>
        <w:tc>
          <w:tcPr>
            <w:tcW w:w="2436" w:type="dxa"/>
          </w:tcPr>
          <w:p w14:paraId="3769984D" w14:textId="77777777" w:rsidR="00C90E78" w:rsidRDefault="00000000">
            <w:pPr>
              <w:cnfStyle w:val="000000010000" w:firstRow="0" w:lastRow="0" w:firstColumn="0" w:lastColumn="0" w:oddVBand="0" w:evenVBand="0" w:oddHBand="0" w:evenHBand="1" w:firstRowFirstColumn="0" w:firstRowLastColumn="0" w:lastRowFirstColumn="0" w:lastRowLastColumn="0"/>
            </w:pPr>
            <w:r>
              <w:t>Ogni 48-96 ore</w:t>
            </w:r>
          </w:p>
        </w:tc>
      </w:tr>
      <w:tr w:rsidR="00C90E78" w:rsidRPr="00FB172C" w14:paraId="15EF2A43"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70281440" w14:textId="77777777" w:rsidR="00C90E78" w:rsidRDefault="00000000">
            <w:r>
              <w:t>Necessità di medicazione secondaria</w:t>
            </w:r>
          </w:p>
        </w:tc>
        <w:tc>
          <w:tcPr>
            <w:tcW w:w="2436" w:type="dxa"/>
          </w:tcPr>
          <w:p w14:paraId="4C9DCDF7" w14:textId="77777777" w:rsidR="00C90E78" w:rsidRPr="00FB172C" w:rsidRDefault="00000000">
            <w:pPr>
              <w:cnfStyle w:val="000000100000" w:firstRow="0" w:lastRow="0" w:firstColumn="0" w:lastColumn="0" w:oddVBand="0" w:evenVBand="0" w:oddHBand="1" w:evenHBand="0" w:firstRowFirstColumn="0" w:firstRowLastColumn="0" w:lastRowFirstColumn="0" w:lastRowLastColumn="0"/>
              <w:rPr>
                <w:lang w:val="it-IT"/>
              </w:rPr>
            </w:pPr>
            <w:r w:rsidRPr="00FB172C">
              <w:rPr>
                <w:lang w:val="it-IT"/>
              </w:rPr>
              <w:t xml:space="preserve">Frequente (schiume) o sempre (alginati, </w:t>
            </w:r>
            <w:proofErr w:type="spellStart"/>
            <w:r w:rsidRPr="00FB172C">
              <w:rPr>
                <w:lang w:val="it-IT"/>
              </w:rPr>
              <w:t>idrofibre</w:t>
            </w:r>
            <w:proofErr w:type="spellEnd"/>
            <w:r w:rsidRPr="00FB172C">
              <w:rPr>
                <w:lang w:val="it-IT"/>
              </w:rPr>
              <w:t>)</w:t>
            </w:r>
          </w:p>
        </w:tc>
        <w:tc>
          <w:tcPr>
            <w:tcW w:w="2436" w:type="dxa"/>
          </w:tcPr>
          <w:p w14:paraId="5CF35A2A" w14:textId="77777777" w:rsidR="00C90E78" w:rsidRDefault="00000000">
            <w:pPr>
              <w:cnfStyle w:val="000000100000" w:firstRow="0" w:lastRow="0" w:firstColumn="0" w:lastColumn="0" w:oddVBand="0" w:evenVBand="0" w:oddHBand="1" w:evenHBand="0" w:firstRowFirstColumn="0" w:firstRowLastColumn="0" w:lastRowFirstColumn="0" w:lastRowLastColumn="0"/>
            </w:pPr>
            <w:proofErr w:type="spellStart"/>
            <w:r>
              <w:t>Spesso</w:t>
            </w:r>
            <w:proofErr w:type="spellEnd"/>
            <w:r>
              <w:t xml:space="preserve"> necessaria</w:t>
            </w:r>
          </w:p>
        </w:tc>
        <w:tc>
          <w:tcPr>
            <w:tcW w:w="2436" w:type="dxa"/>
          </w:tcPr>
          <w:p w14:paraId="7ED6EA80" w14:textId="77777777" w:rsidR="00C90E78" w:rsidRPr="00FB172C" w:rsidRDefault="00000000">
            <w:pPr>
              <w:cnfStyle w:val="000000100000" w:firstRow="0" w:lastRow="0" w:firstColumn="0" w:lastColumn="0" w:oddVBand="0" w:evenVBand="0" w:oddHBand="1" w:evenHBand="0" w:firstRowFirstColumn="0" w:firstRowLastColumn="0" w:lastRowFirstColumn="0" w:lastRowLastColumn="0"/>
              <w:rPr>
                <w:lang w:val="it-IT"/>
              </w:rPr>
            </w:pPr>
            <w:r w:rsidRPr="00FB172C">
              <w:rPr>
                <w:lang w:val="it-IT"/>
              </w:rPr>
              <w:t xml:space="preserve">Sì, di tipo </w:t>
            </w:r>
            <w:proofErr w:type="spellStart"/>
            <w:r w:rsidRPr="00FB172C">
              <w:rPr>
                <w:lang w:val="it-IT"/>
              </w:rPr>
              <w:t>superassorbente</w:t>
            </w:r>
            <w:proofErr w:type="spellEnd"/>
            <w:r w:rsidRPr="00FB172C">
              <w:rPr>
                <w:lang w:val="it-IT"/>
              </w:rPr>
              <w:t xml:space="preserve"> — componente integrante del sistema (mantiene il gradiente di pompaggio)</w:t>
            </w:r>
          </w:p>
        </w:tc>
      </w:tr>
      <w:tr w:rsidR="00C90E78" w14:paraId="563178EE"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13350643" w14:textId="77777777" w:rsidR="00C90E78" w:rsidRDefault="00000000">
            <w:r>
              <w:t xml:space="preserve">Dolore al </w:t>
            </w:r>
            <w:proofErr w:type="spellStart"/>
            <w:r>
              <w:t>cambio</w:t>
            </w:r>
            <w:proofErr w:type="spellEnd"/>
            <w:r>
              <w:t xml:space="preserve"> </w:t>
            </w:r>
            <w:proofErr w:type="spellStart"/>
            <w:r>
              <w:t>medicazione</w:t>
            </w:r>
            <w:proofErr w:type="spellEnd"/>
          </w:p>
        </w:tc>
        <w:tc>
          <w:tcPr>
            <w:tcW w:w="2436" w:type="dxa"/>
          </w:tcPr>
          <w:p w14:paraId="743DFB79" w14:textId="77777777" w:rsidR="00C90E78" w:rsidRPr="00FB172C" w:rsidRDefault="00000000">
            <w:pPr>
              <w:cnfStyle w:val="000000010000" w:firstRow="0" w:lastRow="0" w:firstColumn="0" w:lastColumn="0" w:oddVBand="0" w:evenVBand="0" w:oddHBand="0" w:evenHBand="1" w:firstRowFirstColumn="0" w:firstRowLastColumn="0" w:lastRowFirstColumn="0" w:lastRowLastColumn="0"/>
              <w:rPr>
                <w:lang w:val="it-IT"/>
              </w:rPr>
            </w:pPr>
            <w:r w:rsidRPr="00FB172C">
              <w:rPr>
                <w:lang w:val="it-IT"/>
              </w:rPr>
              <w:t>Variabile (adesione al letto lesionale)</w:t>
            </w:r>
          </w:p>
        </w:tc>
        <w:tc>
          <w:tcPr>
            <w:tcW w:w="2436" w:type="dxa"/>
          </w:tcPr>
          <w:p w14:paraId="08E54792" w14:textId="77777777" w:rsidR="00C90E78" w:rsidRDefault="00000000">
            <w:pPr>
              <w:cnfStyle w:val="000000010000" w:firstRow="0" w:lastRow="0" w:firstColumn="0" w:lastColumn="0" w:oddVBand="0" w:evenVBand="0" w:oddHBand="0" w:evenHBand="1" w:firstRowFirstColumn="0" w:firstRowLastColumn="0" w:lastRowFirstColumn="0" w:lastRowLastColumn="0"/>
            </w:pPr>
            <w:proofErr w:type="spellStart"/>
            <w:r>
              <w:t>Variabile</w:t>
            </w:r>
            <w:proofErr w:type="spellEnd"/>
          </w:p>
        </w:tc>
        <w:tc>
          <w:tcPr>
            <w:tcW w:w="2436" w:type="dxa"/>
          </w:tcPr>
          <w:p w14:paraId="5EF77432" w14:textId="77777777" w:rsidR="00C90E78" w:rsidRDefault="00000000">
            <w:pPr>
              <w:cnfStyle w:val="000000010000" w:firstRow="0" w:lastRow="0" w:firstColumn="0" w:lastColumn="0" w:oddVBand="0" w:evenVBand="0" w:oddHBand="0" w:evenHBand="1" w:firstRowFirstColumn="0" w:firstRowLastColumn="0" w:lastRowFirstColumn="0" w:lastRowLastColumn="0"/>
            </w:pPr>
            <w:r>
              <w:t>Minimo (non aderisce)</w:t>
            </w:r>
          </w:p>
        </w:tc>
      </w:tr>
      <w:tr w:rsidR="00C90E78" w:rsidRPr="00FB172C" w14:paraId="718CA6A2"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42F92956" w14:textId="77777777" w:rsidR="00C90E78" w:rsidRPr="00FB172C" w:rsidRDefault="00000000">
            <w:pPr>
              <w:rPr>
                <w:lang w:val="it-IT"/>
              </w:rPr>
            </w:pPr>
            <w:r w:rsidRPr="00FB172C">
              <w:rPr>
                <w:lang w:val="it-IT"/>
              </w:rPr>
              <w:t xml:space="preserve">Idoneità su cute </w:t>
            </w:r>
            <w:proofErr w:type="spellStart"/>
            <w:r w:rsidRPr="00FB172C">
              <w:rPr>
                <w:lang w:val="it-IT"/>
              </w:rPr>
              <w:t>perilesionale</w:t>
            </w:r>
            <w:proofErr w:type="spellEnd"/>
            <w:r w:rsidRPr="00FB172C">
              <w:rPr>
                <w:lang w:val="it-IT"/>
              </w:rPr>
              <w:t xml:space="preserve"> fragile</w:t>
            </w:r>
          </w:p>
        </w:tc>
        <w:tc>
          <w:tcPr>
            <w:tcW w:w="2436" w:type="dxa"/>
          </w:tcPr>
          <w:p w14:paraId="6BB3B124" w14:textId="77777777" w:rsidR="00C90E78" w:rsidRPr="00FB172C" w:rsidRDefault="00000000">
            <w:pPr>
              <w:cnfStyle w:val="000000100000" w:firstRow="0" w:lastRow="0" w:firstColumn="0" w:lastColumn="0" w:oddVBand="0" w:evenVBand="0" w:oddHBand="1" w:evenHBand="0" w:firstRowFirstColumn="0" w:firstRowLastColumn="0" w:lastRowFirstColumn="0" w:lastRowLastColumn="0"/>
              <w:rPr>
                <w:lang w:val="it-IT"/>
              </w:rPr>
            </w:pPr>
            <w:r w:rsidRPr="00FB172C">
              <w:rPr>
                <w:lang w:val="it-IT"/>
              </w:rPr>
              <w:t>Limitata (adesivi delle schiume bordate)</w:t>
            </w:r>
          </w:p>
        </w:tc>
        <w:tc>
          <w:tcPr>
            <w:tcW w:w="2436" w:type="dxa"/>
          </w:tcPr>
          <w:p w14:paraId="679F974E" w14:textId="77777777" w:rsidR="00C90E78" w:rsidRDefault="00000000">
            <w:pPr>
              <w:cnfStyle w:val="000000100000" w:firstRow="0" w:lastRow="0" w:firstColumn="0" w:lastColumn="0" w:oddVBand="0" w:evenVBand="0" w:oddHBand="1" w:evenHBand="0" w:firstRowFirstColumn="0" w:firstRowLastColumn="0" w:lastRowFirstColumn="0" w:lastRowLastColumn="0"/>
            </w:pPr>
            <w:proofErr w:type="spellStart"/>
            <w:r>
              <w:t>Limitata</w:t>
            </w:r>
            <w:proofErr w:type="spellEnd"/>
          </w:p>
        </w:tc>
        <w:tc>
          <w:tcPr>
            <w:tcW w:w="2436" w:type="dxa"/>
          </w:tcPr>
          <w:p w14:paraId="707C7475" w14:textId="77777777" w:rsidR="00C90E78" w:rsidRPr="00FB172C" w:rsidRDefault="00000000">
            <w:pPr>
              <w:cnfStyle w:val="000000100000" w:firstRow="0" w:lastRow="0" w:firstColumn="0" w:lastColumn="0" w:oddVBand="0" w:evenVBand="0" w:oddHBand="1" w:evenHBand="0" w:firstRowFirstColumn="0" w:firstRowLastColumn="0" w:lastRowFirstColumn="0" w:lastRowLastColumn="0"/>
              <w:rPr>
                <w:lang w:val="it-IT"/>
              </w:rPr>
            </w:pPr>
            <w:r w:rsidRPr="00FB172C">
              <w:rPr>
                <w:lang w:val="it-IT"/>
              </w:rPr>
              <w:t>Ottimale (non occlusiva, non adesiva)</w:t>
            </w:r>
          </w:p>
        </w:tc>
      </w:tr>
      <w:tr w:rsidR="00C90E78" w14:paraId="4BA59817"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3BE1980D" w14:textId="77777777" w:rsidR="00C90E78" w:rsidRDefault="00000000">
            <w:proofErr w:type="spellStart"/>
            <w:r>
              <w:t>Rischio</w:t>
            </w:r>
            <w:proofErr w:type="spellEnd"/>
            <w:r>
              <w:t xml:space="preserve"> MARSI (Medical Adhesive-Related Skin Injury)</w:t>
            </w:r>
          </w:p>
        </w:tc>
        <w:tc>
          <w:tcPr>
            <w:tcW w:w="2436" w:type="dxa"/>
          </w:tcPr>
          <w:p w14:paraId="589306A9" w14:textId="77777777" w:rsidR="00C90E78" w:rsidRDefault="00000000">
            <w:pPr>
              <w:cnfStyle w:val="000000010000" w:firstRow="0" w:lastRow="0" w:firstColumn="0" w:lastColumn="0" w:oddVBand="0" w:evenVBand="0" w:oddHBand="0" w:evenHBand="1" w:firstRowFirstColumn="0" w:firstRowLastColumn="0" w:lastRowFirstColumn="0" w:lastRowLastColumn="0"/>
            </w:pPr>
            <w:r>
              <w:t>Presente (versioni bordate adesive)</w:t>
            </w:r>
          </w:p>
        </w:tc>
        <w:tc>
          <w:tcPr>
            <w:tcW w:w="2436" w:type="dxa"/>
          </w:tcPr>
          <w:p w14:paraId="1B73565E" w14:textId="77777777" w:rsidR="00C90E78" w:rsidRDefault="00000000">
            <w:pPr>
              <w:cnfStyle w:val="000000010000" w:firstRow="0" w:lastRow="0" w:firstColumn="0" w:lastColumn="0" w:oddVBand="0" w:evenVBand="0" w:oddHBand="0" w:evenHBand="1" w:firstRowFirstColumn="0" w:firstRowLastColumn="0" w:lastRowFirstColumn="0" w:lastRowLastColumn="0"/>
            </w:pPr>
            <w:r>
              <w:t>Presente</w:t>
            </w:r>
          </w:p>
        </w:tc>
        <w:tc>
          <w:tcPr>
            <w:tcW w:w="2436" w:type="dxa"/>
          </w:tcPr>
          <w:p w14:paraId="32C506E0" w14:textId="77777777" w:rsidR="00C90E78" w:rsidRDefault="00000000">
            <w:pPr>
              <w:cnfStyle w:val="000000010000" w:firstRow="0" w:lastRow="0" w:firstColumn="0" w:lastColumn="0" w:oddVBand="0" w:evenVBand="0" w:oddHBand="0" w:evenHBand="1" w:firstRowFirstColumn="0" w:firstRowLastColumn="0" w:lastRowFirstColumn="0" w:lastRowLastColumn="0"/>
            </w:pPr>
            <w:r>
              <w:t>Assente</w:t>
            </w:r>
          </w:p>
        </w:tc>
      </w:tr>
      <w:tr w:rsidR="00C90E78" w:rsidRPr="00FB172C" w14:paraId="5E934553"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2AC88698" w14:textId="77777777" w:rsidR="00C90E78" w:rsidRDefault="00000000">
            <w:r>
              <w:t>Stewardship antimicrobico</w:t>
            </w:r>
          </w:p>
        </w:tc>
        <w:tc>
          <w:tcPr>
            <w:tcW w:w="2436" w:type="dxa"/>
          </w:tcPr>
          <w:p w14:paraId="69E03FB2" w14:textId="77777777" w:rsidR="00C90E78" w:rsidRDefault="00000000">
            <w:pPr>
              <w:cnfStyle w:val="000000100000" w:firstRow="0" w:lastRow="0" w:firstColumn="0" w:lastColumn="0" w:oddVBand="0" w:evenVBand="0" w:oddHBand="1" w:evenHBand="0" w:firstRowFirstColumn="0" w:firstRowLastColumn="0" w:lastRowFirstColumn="0" w:lastRowLastColumn="0"/>
            </w:pPr>
            <w:r>
              <w:t>Neutra</w:t>
            </w:r>
          </w:p>
        </w:tc>
        <w:tc>
          <w:tcPr>
            <w:tcW w:w="2436" w:type="dxa"/>
          </w:tcPr>
          <w:p w14:paraId="5AF87EA2" w14:textId="77777777" w:rsidR="00C90E78" w:rsidRPr="00FB172C" w:rsidRDefault="00000000">
            <w:pPr>
              <w:cnfStyle w:val="000000100000" w:firstRow="0" w:lastRow="0" w:firstColumn="0" w:lastColumn="0" w:oddVBand="0" w:evenVBand="0" w:oddHBand="1" w:evenHBand="0" w:firstRowFirstColumn="0" w:firstRowLastColumn="0" w:lastRowFirstColumn="0" w:lastRowLastColumn="0"/>
              <w:rPr>
                <w:lang w:val="it-IT"/>
              </w:rPr>
            </w:pPr>
            <w:r w:rsidRPr="00FB172C">
              <w:rPr>
                <w:lang w:val="it-IT"/>
              </w:rPr>
              <w:t>Negativa (espone a pressione selettiva)</w:t>
            </w:r>
          </w:p>
        </w:tc>
        <w:tc>
          <w:tcPr>
            <w:tcW w:w="2436" w:type="dxa"/>
          </w:tcPr>
          <w:p w14:paraId="0A1EE712" w14:textId="77777777" w:rsidR="00C90E78" w:rsidRPr="00FB172C" w:rsidRDefault="00000000">
            <w:pPr>
              <w:cnfStyle w:val="000000100000" w:firstRow="0" w:lastRow="0" w:firstColumn="0" w:lastColumn="0" w:oddVBand="0" w:evenVBand="0" w:oddHBand="1" w:evenHBand="0" w:firstRowFirstColumn="0" w:firstRowLastColumn="0" w:lastRowFirstColumn="0" w:lastRowLastColumn="0"/>
              <w:rPr>
                <w:lang w:val="it-IT"/>
              </w:rPr>
            </w:pPr>
            <w:r w:rsidRPr="00FB172C">
              <w:rPr>
                <w:lang w:val="it-IT"/>
              </w:rPr>
              <w:t>Positiva (riduce uso di antimicrobici)</w:t>
            </w:r>
          </w:p>
        </w:tc>
      </w:tr>
      <w:tr w:rsidR="00C90E78" w14:paraId="11A4204E"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52D76C4D" w14:textId="77777777" w:rsidR="00C90E78" w:rsidRPr="00FB172C" w:rsidRDefault="00000000">
            <w:pPr>
              <w:rPr>
                <w:lang w:val="it-IT"/>
              </w:rPr>
            </w:pPr>
            <w:r w:rsidRPr="00FB172C">
              <w:rPr>
                <w:lang w:val="it-IT"/>
              </w:rPr>
              <w:t>Indicazione su ferite a basso essudato</w:t>
            </w:r>
          </w:p>
        </w:tc>
        <w:tc>
          <w:tcPr>
            <w:tcW w:w="2436" w:type="dxa"/>
          </w:tcPr>
          <w:p w14:paraId="2D629613" w14:textId="77777777" w:rsidR="00C90E78" w:rsidRDefault="00000000">
            <w:pPr>
              <w:cnfStyle w:val="000000010000" w:firstRow="0" w:lastRow="0" w:firstColumn="0" w:lastColumn="0" w:oddVBand="0" w:evenVBand="0" w:oddHBand="0" w:evenHBand="1" w:firstRowFirstColumn="0" w:firstRowLastColumn="0" w:lastRowFirstColumn="0" w:lastRowLastColumn="0"/>
            </w:pPr>
            <w:proofErr w:type="spellStart"/>
            <w:r>
              <w:t>Sì</w:t>
            </w:r>
            <w:proofErr w:type="spellEnd"/>
          </w:p>
        </w:tc>
        <w:tc>
          <w:tcPr>
            <w:tcW w:w="2436" w:type="dxa"/>
          </w:tcPr>
          <w:p w14:paraId="3A24110C" w14:textId="77777777" w:rsidR="00C90E78" w:rsidRDefault="00000000">
            <w:pPr>
              <w:cnfStyle w:val="000000010000" w:firstRow="0" w:lastRow="0" w:firstColumn="0" w:lastColumn="0" w:oddVBand="0" w:evenVBand="0" w:oddHBand="0" w:evenHBand="1" w:firstRowFirstColumn="0" w:firstRowLastColumn="0" w:lastRowFirstColumn="0" w:lastRowLastColumn="0"/>
            </w:pPr>
            <w:r>
              <w:t>Sì</w:t>
            </w:r>
          </w:p>
        </w:tc>
        <w:tc>
          <w:tcPr>
            <w:tcW w:w="2436" w:type="dxa"/>
          </w:tcPr>
          <w:p w14:paraId="14AED167" w14:textId="77777777" w:rsidR="00C90E78" w:rsidRDefault="00000000">
            <w:pPr>
              <w:cnfStyle w:val="000000010000" w:firstRow="0" w:lastRow="0" w:firstColumn="0" w:lastColumn="0" w:oddVBand="0" w:evenVBand="0" w:oddHBand="0" w:evenHBand="1" w:firstRowFirstColumn="0" w:firstRowLastColumn="0" w:lastRowFirstColumn="0" w:lastRowLastColumn="0"/>
            </w:pPr>
            <w:r>
              <w:t>Sì</w:t>
            </w:r>
          </w:p>
        </w:tc>
      </w:tr>
      <w:tr w:rsidR="00C90E78" w14:paraId="100EF465"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6078198A" w14:textId="77777777" w:rsidR="00C90E78" w:rsidRPr="00FB172C" w:rsidRDefault="00000000">
            <w:pPr>
              <w:rPr>
                <w:lang w:val="it-IT"/>
              </w:rPr>
            </w:pPr>
            <w:r w:rsidRPr="00FB172C">
              <w:rPr>
                <w:lang w:val="it-IT"/>
              </w:rPr>
              <w:t>Indicazione su ferite ad alto essudato</w:t>
            </w:r>
          </w:p>
        </w:tc>
        <w:tc>
          <w:tcPr>
            <w:tcW w:w="2436" w:type="dxa"/>
          </w:tcPr>
          <w:p w14:paraId="7A78AEBA" w14:textId="77777777" w:rsidR="00C90E78" w:rsidRPr="00FB172C" w:rsidRDefault="00000000">
            <w:pPr>
              <w:cnfStyle w:val="000000100000" w:firstRow="0" w:lastRow="0" w:firstColumn="0" w:lastColumn="0" w:oddVBand="0" w:evenVBand="0" w:oddHBand="1" w:evenHBand="0" w:firstRowFirstColumn="0" w:firstRowLastColumn="0" w:lastRowFirstColumn="0" w:lastRowLastColumn="0"/>
              <w:rPr>
                <w:lang w:val="it-IT"/>
              </w:rPr>
            </w:pPr>
            <w:r w:rsidRPr="00FB172C">
              <w:rPr>
                <w:lang w:val="it-IT"/>
              </w:rPr>
              <w:t xml:space="preserve">Necessità di cambi frequenti / </w:t>
            </w:r>
            <w:proofErr w:type="spellStart"/>
            <w:r w:rsidRPr="00FB172C">
              <w:rPr>
                <w:lang w:val="it-IT"/>
              </w:rPr>
              <w:t>superassorbenti</w:t>
            </w:r>
            <w:proofErr w:type="spellEnd"/>
          </w:p>
        </w:tc>
        <w:tc>
          <w:tcPr>
            <w:tcW w:w="2436" w:type="dxa"/>
          </w:tcPr>
          <w:p w14:paraId="02D40F7C" w14:textId="77777777" w:rsidR="00C90E78" w:rsidRDefault="00000000">
            <w:pPr>
              <w:cnfStyle w:val="000000100000" w:firstRow="0" w:lastRow="0" w:firstColumn="0" w:lastColumn="0" w:oddVBand="0" w:evenVBand="0" w:oddHBand="1" w:evenHBand="0" w:firstRowFirstColumn="0" w:firstRowLastColumn="0" w:lastRowFirstColumn="0" w:lastRowLastColumn="0"/>
            </w:pPr>
            <w:proofErr w:type="spellStart"/>
            <w:r>
              <w:t>Necessità</w:t>
            </w:r>
            <w:proofErr w:type="spellEnd"/>
            <w:r>
              <w:t xml:space="preserve"> di </w:t>
            </w:r>
            <w:proofErr w:type="spellStart"/>
            <w:r>
              <w:t>cambi</w:t>
            </w:r>
            <w:proofErr w:type="spellEnd"/>
            <w:r>
              <w:t xml:space="preserve"> </w:t>
            </w:r>
            <w:proofErr w:type="spellStart"/>
            <w:r>
              <w:t>frequenti</w:t>
            </w:r>
            <w:proofErr w:type="spellEnd"/>
          </w:p>
        </w:tc>
        <w:tc>
          <w:tcPr>
            <w:tcW w:w="2436" w:type="dxa"/>
          </w:tcPr>
          <w:p w14:paraId="1C62A98B" w14:textId="77777777" w:rsidR="00C90E78" w:rsidRDefault="00000000">
            <w:pPr>
              <w:cnfStyle w:val="000000100000" w:firstRow="0" w:lastRow="0" w:firstColumn="0" w:lastColumn="0" w:oddVBand="0" w:evenVBand="0" w:oddHBand="1" w:evenHBand="0" w:firstRowFirstColumn="0" w:firstRowLastColumn="0" w:lastRowFirstColumn="0" w:lastRowLastColumn="0"/>
            </w:pPr>
            <w:r w:rsidRPr="00FB172C">
              <w:rPr>
                <w:lang w:val="it-IT"/>
              </w:rPr>
              <w:t xml:space="preserve">Tecnicamente impiegabile su tutti i livelli di essudato; in alto essudato richiede cambi frequenti della secondaria per mantenere il gradiente. </w:t>
            </w:r>
            <w:r>
              <w:t xml:space="preserve">Prima </w:t>
            </w:r>
            <w:proofErr w:type="spellStart"/>
            <w:r>
              <w:t>scelta</w:t>
            </w:r>
            <w:proofErr w:type="spellEnd"/>
            <w:r>
              <w:t xml:space="preserve"> in </w:t>
            </w:r>
            <w:proofErr w:type="spellStart"/>
            <w:r>
              <w:t>essudato</w:t>
            </w:r>
            <w:proofErr w:type="spellEnd"/>
            <w:r>
              <w:t xml:space="preserve"> lieve-moderato</w:t>
            </w:r>
          </w:p>
        </w:tc>
      </w:tr>
      <w:tr w:rsidR="00C90E78" w14:paraId="6DE0598A"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28C28855" w14:textId="77777777" w:rsidR="00C90E78" w:rsidRPr="00FB172C" w:rsidRDefault="00000000">
            <w:pPr>
              <w:rPr>
                <w:lang w:val="it-IT"/>
              </w:rPr>
            </w:pPr>
            <w:r w:rsidRPr="00FB172C">
              <w:rPr>
                <w:lang w:val="it-IT"/>
              </w:rPr>
              <w:t>Effetto sul tessuto di granulazione</w:t>
            </w:r>
          </w:p>
        </w:tc>
        <w:tc>
          <w:tcPr>
            <w:tcW w:w="2436" w:type="dxa"/>
          </w:tcPr>
          <w:p w14:paraId="49F4DCDA" w14:textId="77777777" w:rsidR="00C90E78" w:rsidRDefault="00000000">
            <w:pPr>
              <w:cnfStyle w:val="000000010000" w:firstRow="0" w:lastRow="0" w:firstColumn="0" w:lastColumn="0" w:oddVBand="0" w:evenVBand="0" w:oddHBand="0" w:evenHBand="1" w:firstRowFirstColumn="0" w:firstRowLastColumn="0" w:lastRowFirstColumn="0" w:lastRowLastColumn="0"/>
            </w:pPr>
            <w:proofErr w:type="spellStart"/>
            <w:r>
              <w:t>Passivo</w:t>
            </w:r>
            <w:proofErr w:type="spellEnd"/>
          </w:p>
        </w:tc>
        <w:tc>
          <w:tcPr>
            <w:tcW w:w="2436" w:type="dxa"/>
          </w:tcPr>
          <w:p w14:paraId="51C964F8" w14:textId="77777777" w:rsidR="00C90E78" w:rsidRDefault="00000000">
            <w:pPr>
              <w:cnfStyle w:val="000000010000" w:firstRow="0" w:lastRow="0" w:firstColumn="0" w:lastColumn="0" w:oddVBand="0" w:evenVBand="0" w:oddHBand="0" w:evenHBand="1" w:firstRowFirstColumn="0" w:firstRowLastColumn="0" w:lastRowFirstColumn="0" w:lastRowLastColumn="0"/>
            </w:pPr>
            <w:r>
              <w:t>Passivo (rischio citotossicità Ag)</w:t>
            </w:r>
          </w:p>
        </w:tc>
        <w:tc>
          <w:tcPr>
            <w:tcW w:w="2436" w:type="dxa"/>
          </w:tcPr>
          <w:p w14:paraId="36336CC4" w14:textId="77777777" w:rsidR="00C90E78" w:rsidRDefault="00000000">
            <w:pPr>
              <w:cnfStyle w:val="000000010000" w:firstRow="0" w:lastRow="0" w:firstColumn="0" w:lastColumn="0" w:oddVBand="0" w:evenVBand="0" w:oddHBand="0" w:evenHBand="1" w:firstRowFirstColumn="0" w:firstRowLastColumn="0" w:lastRowFirstColumn="0" w:lastRowLastColumn="0"/>
            </w:pPr>
            <w:r>
              <w:t>Stimolazione attiva (analogo NPWT)</w:t>
            </w:r>
          </w:p>
        </w:tc>
      </w:tr>
      <w:tr w:rsidR="00C90E78" w14:paraId="7D48C9B9" w14:textId="77777777" w:rsidTr="00C9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52D80821" w14:textId="77777777" w:rsidR="00C90E78" w:rsidRDefault="00000000">
            <w:r>
              <w:t xml:space="preserve">Costo medio giornaliero </w:t>
            </w:r>
            <w:r>
              <w:lastRenderedPageBreak/>
              <w:t>(stima)</w:t>
            </w:r>
          </w:p>
        </w:tc>
        <w:tc>
          <w:tcPr>
            <w:tcW w:w="2436" w:type="dxa"/>
          </w:tcPr>
          <w:p w14:paraId="44BCC3B6" w14:textId="77777777" w:rsidR="00C90E78" w:rsidRDefault="00000000">
            <w:pPr>
              <w:cnfStyle w:val="000000100000" w:firstRow="0" w:lastRow="0" w:firstColumn="0" w:lastColumn="0" w:oddVBand="0" w:evenVBand="0" w:oddHBand="1" w:evenHBand="0" w:firstRowFirstColumn="0" w:firstRowLastColumn="0" w:lastRowFirstColumn="0" w:lastRowLastColumn="0"/>
            </w:pPr>
            <w:r>
              <w:lastRenderedPageBreak/>
              <w:t>4-12 € / die</w:t>
            </w:r>
          </w:p>
        </w:tc>
        <w:tc>
          <w:tcPr>
            <w:tcW w:w="2436" w:type="dxa"/>
          </w:tcPr>
          <w:p w14:paraId="18AD0246" w14:textId="77777777" w:rsidR="00C90E78" w:rsidRDefault="00000000">
            <w:pPr>
              <w:cnfStyle w:val="000000100000" w:firstRow="0" w:lastRow="0" w:firstColumn="0" w:lastColumn="0" w:oddVBand="0" w:evenVBand="0" w:oddHBand="1" w:evenHBand="0" w:firstRowFirstColumn="0" w:firstRowLastColumn="0" w:lastRowFirstColumn="0" w:lastRowLastColumn="0"/>
            </w:pPr>
            <w:r>
              <w:t>8-25 € / die</w:t>
            </w:r>
          </w:p>
        </w:tc>
        <w:tc>
          <w:tcPr>
            <w:tcW w:w="2436" w:type="dxa"/>
          </w:tcPr>
          <w:p w14:paraId="403CF326" w14:textId="77777777" w:rsidR="00C90E78" w:rsidRDefault="00000000">
            <w:pPr>
              <w:cnfStyle w:val="000000100000" w:firstRow="0" w:lastRow="0" w:firstColumn="0" w:lastColumn="0" w:oddVBand="0" w:evenVBand="0" w:oddHBand="1" w:evenHBand="0" w:firstRowFirstColumn="0" w:firstRowLastColumn="0" w:lastRowFirstColumn="0" w:lastRowLastColumn="0"/>
            </w:pPr>
            <w:r>
              <w:t>5-15 € / die</w:t>
            </w:r>
          </w:p>
        </w:tc>
      </w:tr>
      <w:tr w:rsidR="00C90E78" w:rsidRPr="00FB172C" w14:paraId="2FA7C423" w14:textId="77777777" w:rsidTr="00C90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Pr>
          <w:p w14:paraId="6C6FC500" w14:textId="77777777" w:rsidR="00C90E78" w:rsidRPr="00FB172C" w:rsidRDefault="00000000">
            <w:pPr>
              <w:rPr>
                <w:lang w:val="it-IT"/>
              </w:rPr>
            </w:pPr>
            <w:r w:rsidRPr="00FB172C">
              <w:rPr>
                <w:lang w:val="it-IT"/>
              </w:rPr>
              <w:t>Numero referenze per ciascuna lesione</w:t>
            </w:r>
          </w:p>
        </w:tc>
        <w:tc>
          <w:tcPr>
            <w:tcW w:w="2436" w:type="dxa"/>
          </w:tcPr>
          <w:p w14:paraId="16E58883" w14:textId="77777777" w:rsidR="00C90E78" w:rsidRDefault="00000000">
            <w:pPr>
              <w:cnfStyle w:val="000000010000" w:firstRow="0" w:lastRow="0" w:firstColumn="0" w:lastColumn="0" w:oddVBand="0" w:evenVBand="0" w:oddHBand="0" w:evenHBand="1" w:firstRowFirstColumn="0" w:firstRowLastColumn="0" w:lastRowFirstColumn="0" w:lastRowLastColumn="0"/>
            </w:pPr>
            <w:proofErr w:type="spellStart"/>
            <w:r>
              <w:t>Spesso</w:t>
            </w:r>
            <w:proofErr w:type="spellEnd"/>
            <w:r>
              <w:t xml:space="preserve"> 2-3 (</w:t>
            </w:r>
            <w:proofErr w:type="spellStart"/>
            <w:r>
              <w:t>primaria</w:t>
            </w:r>
            <w:proofErr w:type="spellEnd"/>
            <w:r>
              <w:t xml:space="preserve"> + secondaria + fissaggio)</w:t>
            </w:r>
          </w:p>
        </w:tc>
        <w:tc>
          <w:tcPr>
            <w:tcW w:w="2436" w:type="dxa"/>
          </w:tcPr>
          <w:p w14:paraId="7EB2D8A3" w14:textId="77777777" w:rsidR="00C90E78" w:rsidRDefault="00000000">
            <w:pPr>
              <w:cnfStyle w:val="000000010000" w:firstRow="0" w:lastRow="0" w:firstColumn="0" w:lastColumn="0" w:oddVBand="0" w:evenVBand="0" w:oddHBand="0" w:evenHBand="1" w:firstRowFirstColumn="0" w:firstRowLastColumn="0" w:lastRowFirstColumn="0" w:lastRowLastColumn="0"/>
            </w:pPr>
            <w:r>
              <w:t>Spesso 2-3</w:t>
            </w:r>
          </w:p>
        </w:tc>
        <w:tc>
          <w:tcPr>
            <w:tcW w:w="2436" w:type="dxa"/>
          </w:tcPr>
          <w:p w14:paraId="2E2DD742" w14:textId="77777777" w:rsidR="00C90E78" w:rsidRPr="00FB172C" w:rsidRDefault="00000000">
            <w:pPr>
              <w:cnfStyle w:val="000000010000" w:firstRow="0" w:lastRow="0" w:firstColumn="0" w:lastColumn="0" w:oddVBand="0" w:evenVBand="0" w:oddHBand="0" w:evenHBand="1" w:firstRowFirstColumn="0" w:firstRowLastColumn="0" w:lastRowFirstColumn="0" w:lastRowLastColumn="0"/>
              <w:rPr>
                <w:lang w:val="it-IT"/>
              </w:rPr>
            </w:pPr>
            <w:r w:rsidRPr="00FB172C">
              <w:rPr>
                <w:lang w:val="it-IT"/>
              </w:rPr>
              <w:t>Sistema standardizzato a 2 componenti (</w:t>
            </w:r>
            <w:proofErr w:type="spellStart"/>
            <w:r w:rsidRPr="00FB172C">
              <w:rPr>
                <w:lang w:val="it-IT"/>
              </w:rPr>
              <w:t>Vacutex</w:t>
            </w:r>
            <w:proofErr w:type="spellEnd"/>
            <w:r w:rsidRPr="00FB172C">
              <w:rPr>
                <w:lang w:val="it-IT"/>
              </w:rPr>
              <w:t xml:space="preserve"> + secondaria </w:t>
            </w:r>
            <w:proofErr w:type="spellStart"/>
            <w:r w:rsidRPr="00FB172C">
              <w:rPr>
                <w:lang w:val="it-IT"/>
              </w:rPr>
              <w:t>superassorbente</w:t>
            </w:r>
            <w:proofErr w:type="spellEnd"/>
            <w:r w:rsidRPr="00FB172C">
              <w:rPr>
                <w:lang w:val="it-IT"/>
              </w:rPr>
              <w:t>) per le principali indicazioni</w:t>
            </w:r>
          </w:p>
        </w:tc>
      </w:tr>
    </w:tbl>
    <w:p w14:paraId="521C3F4A" w14:textId="77777777" w:rsidR="00C90E78" w:rsidRPr="00FB172C" w:rsidRDefault="00000000">
      <w:pPr>
        <w:rPr>
          <w:lang w:val="it-IT"/>
        </w:rPr>
      </w:pPr>
      <w:r w:rsidRPr="00FB172C">
        <w:rPr>
          <w:lang w:val="it-IT"/>
        </w:rPr>
        <w:br w:type="page"/>
      </w:r>
    </w:p>
    <w:p w14:paraId="20B4EC27" w14:textId="77777777" w:rsidR="00C90E78" w:rsidRPr="00FB172C" w:rsidRDefault="00000000">
      <w:pPr>
        <w:pStyle w:val="Titolo1"/>
        <w:rPr>
          <w:lang w:val="it-IT"/>
        </w:rPr>
      </w:pPr>
      <w:r w:rsidRPr="00FB172C">
        <w:rPr>
          <w:lang w:val="it-IT"/>
        </w:rPr>
        <w:lastRenderedPageBreak/>
        <w:t>4. Confronto puntuale con singole categorie di medicazione</w:t>
      </w:r>
    </w:p>
    <w:p w14:paraId="57D447B8" w14:textId="77777777" w:rsidR="00C90E78" w:rsidRPr="00FB172C" w:rsidRDefault="00000000">
      <w:pPr>
        <w:pStyle w:val="Titolo2"/>
        <w:rPr>
          <w:lang w:val="it-IT"/>
        </w:rPr>
      </w:pPr>
      <w:r w:rsidRPr="00FB172C">
        <w:rPr>
          <w:lang w:val="it-IT"/>
        </w:rPr>
        <w:t xml:space="preserve">4.1 </w:t>
      </w:r>
      <w:proofErr w:type="spellStart"/>
      <w:r w:rsidRPr="00FB172C">
        <w:rPr>
          <w:lang w:val="it-IT"/>
        </w:rPr>
        <w:t>Vacutex</w:t>
      </w:r>
      <w:proofErr w:type="spellEnd"/>
      <w:r w:rsidRPr="00FB172C">
        <w:rPr>
          <w:lang w:val="it-IT"/>
        </w:rPr>
        <w:t>® vs Schiume di poliuretano</w:t>
      </w:r>
    </w:p>
    <w:p w14:paraId="05D0367D" w14:textId="77777777" w:rsidR="00C90E78" w:rsidRPr="00FB172C" w:rsidRDefault="00000000">
      <w:pPr>
        <w:rPr>
          <w:lang w:val="it-IT"/>
        </w:rPr>
      </w:pPr>
      <w:r w:rsidRPr="00FB172C">
        <w:rPr>
          <w:lang w:val="it-IT"/>
        </w:rPr>
        <w:t xml:space="preserve">Le schiume di poliuretano sono la categoria più diffusa di medicazione avanzata. Hanno il vantaggio di una buona capacità assorbente e di un'applicazione semplice, ma soffrono di alcuni limiti: la saturazione progressiva con perdita di efficacia, l'incapacità di rimuovere attivamente i detriti dal letto della lesione, la frequente necessità di versioni bordate adesive (con rischio MARSI). </w:t>
      </w:r>
      <w:proofErr w:type="spellStart"/>
      <w:r w:rsidRPr="00FB172C">
        <w:rPr>
          <w:lang w:val="it-IT"/>
        </w:rPr>
        <w:t>Vacutex</w:t>
      </w:r>
      <w:proofErr w:type="spellEnd"/>
      <w:r w:rsidRPr="00FB172C">
        <w:rPr>
          <w:lang w:val="it-IT"/>
        </w:rPr>
        <w:t xml:space="preserve">® opera invece per pompaggio capillare attivo: la medicazione non si "satura" sul letto della lesione perché l'essudato viene continuativamente veicolato verso la secondaria </w:t>
      </w:r>
      <w:proofErr w:type="spellStart"/>
      <w:r w:rsidRPr="00FB172C">
        <w:rPr>
          <w:lang w:val="it-IT"/>
        </w:rPr>
        <w:t>superassorbente</w:t>
      </w:r>
      <w:proofErr w:type="spellEnd"/>
      <w:r w:rsidRPr="00FB172C">
        <w:rPr>
          <w:lang w:val="it-IT"/>
        </w:rPr>
        <w:t xml:space="preserve"> esterna. Ne deriva un'interfaccia lesionale asciutta e attiva per tutta la durata di applicazione, senza i fenomeni di strike-</w:t>
      </w:r>
      <w:proofErr w:type="spellStart"/>
      <w:r w:rsidRPr="00FB172C">
        <w:rPr>
          <w:lang w:val="it-IT"/>
        </w:rPr>
        <w:t>through</w:t>
      </w:r>
      <w:proofErr w:type="spellEnd"/>
      <w:r w:rsidRPr="00FB172C">
        <w:rPr>
          <w:lang w:val="it-IT"/>
        </w:rPr>
        <w:t xml:space="preserve"> laterale tipici delle schiume sature. Inoltre, </w:t>
      </w:r>
      <w:proofErr w:type="spellStart"/>
      <w:r w:rsidRPr="00FB172C">
        <w:rPr>
          <w:lang w:val="it-IT"/>
        </w:rPr>
        <w:t>Vacutex</w:t>
      </w:r>
      <w:proofErr w:type="spellEnd"/>
      <w:r w:rsidRPr="00FB172C">
        <w:rPr>
          <w:lang w:val="it-IT"/>
        </w:rPr>
        <w:t xml:space="preserve">® non è adesivo sulla cute </w:t>
      </w:r>
      <w:proofErr w:type="spellStart"/>
      <w:r w:rsidRPr="00FB172C">
        <w:rPr>
          <w:lang w:val="it-IT"/>
        </w:rPr>
        <w:t>perilesionale</w:t>
      </w:r>
      <w:proofErr w:type="spellEnd"/>
      <w:r w:rsidRPr="00FB172C">
        <w:rPr>
          <w:lang w:val="it-IT"/>
        </w:rPr>
        <w:t>.</w:t>
      </w:r>
    </w:p>
    <w:p w14:paraId="1FC70851" w14:textId="77777777" w:rsidR="00C90E78" w:rsidRPr="00FB172C" w:rsidRDefault="00000000">
      <w:pPr>
        <w:pStyle w:val="Titolo2"/>
        <w:rPr>
          <w:lang w:val="it-IT"/>
        </w:rPr>
      </w:pPr>
      <w:r w:rsidRPr="00FB172C">
        <w:rPr>
          <w:lang w:val="it-IT"/>
        </w:rPr>
        <w:t xml:space="preserve">4.2 </w:t>
      </w:r>
      <w:proofErr w:type="spellStart"/>
      <w:r w:rsidRPr="00FB172C">
        <w:rPr>
          <w:lang w:val="it-IT"/>
        </w:rPr>
        <w:t>Vacutex</w:t>
      </w:r>
      <w:proofErr w:type="spellEnd"/>
      <w:r w:rsidRPr="00FB172C">
        <w:rPr>
          <w:lang w:val="it-IT"/>
        </w:rPr>
        <w:t>® vs Alginati di calcio</w:t>
      </w:r>
    </w:p>
    <w:p w14:paraId="3196DA07" w14:textId="77777777" w:rsidR="00C90E78" w:rsidRPr="00FB172C" w:rsidRDefault="00000000">
      <w:pPr>
        <w:rPr>
          <w:lang w:val="it-IT"/>
        </w:rPr>
      </w:pPr>
      <w:r w:rsidRPr="00FB172C">
        <w:rPr>
          <w:lang w:val="it-IT"/>
        </w:rPr>
        <w:t xml:space="preserve">Gli alginati sono indicati per ferite essudanti e sanguinanti, ma richiedono sempre una medicazione secondaria di copertura e fissaggio. La loro azione si esaurisce con la saturazione, con tempi tipicamente brevi (24-48 ore) nelle lesioni ad alto essudato. Anche </w:t>
      </w:r>
      <w:proofErr w:type="spellStart"/>
      <w:r w:rsidRPr="00FB172C">
        <w:rPr>
          <w:lang w:val="it-IT"/>
        </w:rPr>
        <w:t>Vacutex</w:t>
      </w:r>
      <w:proofErr w:type="spellEnd"/>
      <w:r w:rsidRPr="00FB172C">
        <w:rPr>
          <w:lang w:val="it-IT"/>
        </w:rPr>
        <w:t xml:space="preserve">® opera in associazione a una secondaria </w:t>
      </w:r>
      <w:proofErr w:type="spellStart"/>
      <w:r w:rsidRPr="00FB172C">
        <w:rPr>
          <w:lang w:val="it-IT"/>
        </w:rPr>
        <w:t>superassorbente</w:t>
      </w:r>
      <w:proofErr w:type="spellEnd"/>
      <w:r w:rsidRPr="00FB172C">
        <w:rPr>
          <w:lang w:val="it-IT"/>
        </w:rPr>
        <w:t xml:space="preserve">, ma la differenza sostanziale è meccanicistica: l'alginato accumula l'essudato all'interno del proprio corpo gel fino a saturazione, mentre </w:t>
      </w:r>
      <w:proofErr w:type="spellStart"/>
      <w:r w:rsidRPr="00FB172C">
        <w:rPr>
          <w:lang w:val="it-IT"/>
        </w:rPr>
        <w:t>Vacutex</w:t>
      </w:r>
      <w:proofErr w:type="spellEnd"/>
      <w:r w:rsidRPr="00FB172C">
        <w:rPr>
          <w:lang w:val="it-IT"/>
        </w:rPr>
        <w:t>® lo veicola attivamente, in modo continuativo e unidirezionale, verso la secondaria. L'interfaccia lesionale resta così funzionalmente "asciutta" e l'azione di pompaggio prosegue fintanto che la secondaria è in grado di assorbire l'essudato (e in essudazione lieve-moderata ciò comporta cambi del sistema meno frequenti rispetto al binomio alginato + secondaria).</w:t>
      </w:r>
    </w:p>
    <w:p w14:paraId="033706C7" w14:textId="77777777" w:rsidR="00C90E78" w:rsidRPr="00FB172C" w:rsidRDefault="00000000">
      <w:pPr>
        <w:pStyle w:val="Titolo2"/>
        <w:rPr>
          <w:lang w:val="it-IT"/>
        </w:rPr>
      </w:pPr>
      <w:r w:rsidRPr="00FB172C">
        <w:rPr>
          <w:lang w:val="it-IT"/>
        </w:rPr>
        <w:t xml:space="preserve">4.3 </w:t>
      </w:r>
      <w:proofErr w:type="spellStart"/>
      <w:r w:rsidRPr="00FB172C">
        <w:rPr>
          <w:lang w:val="it-IT"/>
        </w:rPr>
        <w:t>Vacutex</w:t>
      </w:r>
      <w:proofErr w:type="spellEnd"/>
      <w:r w:rsidRPr="00FB172C">
        <w:rPr>
          <w:lang w:val="it-IT"/>
        </w:rPr>
        <w:t xml:space="preserve">® vs </w:t>
      </w:r>
      <w:proofErr w:type="spellStart"/>
      <w:r w:rsidRPr="00FB172C">
        <w:rPr>
          <w:lang w:val="it-IT"/>
        </w:rPr>
        <w:t>Idrofibre</w:t>
      </w:r>
      <w:proofErr w:type="spellEnd"/>
    </w:p>
    <w:p w14:paraId="710BB7AA" w14:textId="77777777" w:rsidR="00C90E78" w:rsidRPr="00FB172C" w:rsidRDefault="00000000">
      <w:pPr>
        <w:rPr>
          <w:lang w:val="it-IT"/>
        </w:rPr>
      </w:pPr>
      <w:r w:rsidRPr="00FB172C">
        <w:rPr>
          <w:lang w:val="it-IT"/>
        </w:rPr>
        <w:t xml:space="preserve">Le </w:t>
      </w:r>
      <w:proofErr w:type="spellStart"/>
      <w:r w:rsidRPr="00FB172C">
        <w:rPr>
          <w:lang w:val="it-IT"/>
        </w:rPr>
        <w:t>idrofibre</w:t>
      </w:r>
      <w:proofErr w:type="spellEnd"/>
      <w:r w:rsidRPr="00FB172C">
        <w:rPr>
          <w:lang w:val="it-IT"/>
        </w:rPr>
        <w:t xml:space="preserve"> offrono un buon controllo dell'essudato grazie alla gelificazione verticale, ma — come gli alginati — richiedono medicazione secondaria, hanno costi elevati e devono essere associate a versioni antimicrobiche (Ag) nelle lesioni infette, con i limiti già evidenziati. Anche </w:t>
      </w:r>
      <w:proofErr w:type="spellStart"/>
      <w:r w:rsidRPr="00FB172C">
        <w:rPr>
          <w:lang w:val="it-IT"/>
        </w:rPr>
        <w:t>Vacutex</w:t>
      </w:r>
      <w:proofErr w:type="spellEnd"/>
      <w:r w:rsidRPr="00FB172C">
        <w:rPr>
          <w:lang w:val="it-IT"/>
        </w:rPr>
        <w:t xml:space="preserve">® richiede una secondaria </w:t>
      </w:r>
      <w:proofErr w:type="spellStart"/>
      <w:r w:rsidRPr="00FB172C">
        <w:rPr>
          <w:lang w:val="it-IT"/>
        </w:rPr>
        <w:t>superassorbente</w:t>
      </w:r>
      <w:proofErr w:type="spellEnd"/>
      <w:r w:rsidRPr="00FB172C">
        <w:rPr>
          <w:lang w:val="it-IT"/>
        </w:rPr>
        <w:t>: il vantaggio non sta nell'eliminazione della secondaria ma nel meccanismo d'azione. Mentre l'</w:t>
      </w:r>
      <w:proofErr w:type="spellStart"/>
      <w:r w:rsidRPr="00FB172C">
        <w:rPr>
          <w:lang w:val="it-IT"/>
        </w:rPr>
        <w:t>idrofibra</w:t>
      </w:r>
      <w:proofErr w:type="spellEnd"/>
      <w:r w:rsidRPr="00FB172C">
        <w:rPr>
          <w:lang w:val="it-IT"/>
        </w:rPr>
        <w:t xml:space="preserve"> accumula l'essudato nel proprio corpo gel (lasciandolo a contatto con il letto della lesione fino al cambio), </w:t>
      </w:r>
      <w:proofErr w:type="spellStart"/>
      <w:r w:rsidRPr="00FB172C">
        <w:rPr>
          <w:lang w:val="it-IT"/>
        </w:rPr>
        <w:t>Vacutex</w:t>
      </w:r>
      <w:proofErr w:type="spellEnd"/>
      <w:r w:rsidRPr="00FB172C">
        <w:rPr>
          <w:lang w:val="it-IT"/>
        </w:rPr>
        <w:t>® lo veicola attivamente dal fondo della ferita verso la secondaria, allontanando in modo continuativo MMP, biofilm e detriti dal microambiente lesionale.</w:t>
      </w:r>
    </w:p>
    <w:p w14:paraId="6991D783" w14:textId="77777777" w:rsidR="00C90E78" w:rsidRPr="00FB172C" w:rsidRDefault="00000000">
      <w:pPr>
        <w:pStyle w:val="Titolo2"/>
        <w:rPr>
          <w:lang w:val="it-IT"/>
        </w:rPr>
      </w:pPr>
      <w:r w:rsidRPr="00FB172C">
        <w:rPr>
          <w:lang w:val="it-IT"/>
        </w:rPr>
        <w:t xml:space="preserve">4.4 </w:t>
      </w:r>
      <w:proofErr w:type="spellStart"/>
      <w:r w:rsidRPr="00FB172C">
        <w:rPr>
          <w:lang w:val="it-IT"/>
        </w:rPr>
        <w:t>Vacutex</w:t>
      </w:r>
      <w:proofErr w:type="spellEnd"/>
      <w:r w:rsidRPr="00FB172C">
        <w:rPr>
          <w:lang w:val="it-IT"/>
        </w:rPr>
        <w:t xml:space="preserve">® vs </w:t>
      </w:r>
      <w:proofErr w:type="spellStart"/>
      <w:r w:rsidRPr="00FB172C">
        <w:rPr>
          <w:lang w:val="it-IT"/>
        </w:rPr>
        <w:t>Idrocolloidi</w:t>
      </w:r>
      <w:proofErr w:type="spellEnd"/>
    </w:p>
    <w:p w14:paraId="1B05BCF2" w14:textId="77777777" w:rsidR="00C90E78" w:rsidRPr="00FB172C" w:rsidRDefault="00000000">
      <w:pPr>
        <w:rPr>
          <w:lang w:val="it-IT"/>
        </w:rPr>
      </w:pPr>
      <w:r w:rsidRPr="00FB172C">
        <w:rPr>
          <w:lang w:val="it-IT"/>
        </w:rPr>
        <w:t xml:space="preserve">Gli </w:t>
      </w:r>
      <w:proofErr w:type="spellStart"/>
      <w:r w:rsidRPr="00FB172C">
        <w:rPr>
          <w:lang w:val="it-IT"/>
        </w:rPr>
        <w:t>idrocolloidi</w:t>
      </w:r>
      <w:proofErr w:type="spellEnd"/>
      <w:r w:rsidRPr="00FB172C">
        <w:rPr>
          <w:lang w:val="it-IT"/>
        </w:rPr>
        <w:t xml:space="preserve"> sono indicati esclusivamente per lesioni a basso essudato, in fase di granulazione/</w:t>
      </w:r>
      <w:proofErr w:type="spellStart"/>
      <w:r w:rsidRPr="00FB172C">
        <w:rPr>
          <w:lang w:val="it-IT"/>
        </w:rPr>
        <w:t>epitelizzazione</w:t>
      </w:r>
      <w:proofErr w:type="spellEnd"/>
      <w:r w:rsidRPr="00FB172C">
        <w:rPr>
          <w:lang w:val="it-IT"/>
        </w:rPr>
        <w:t xml:space="preserve">, e sono controindicati su lesioni infette o ad alto essudato. La loro </w:t>
      </w:r>
      <w:proofErr w:type="spellStart"/>
      <w:r w:rsidRPr="00FB172C">
        <w:rPr>
          <w:lang w:val="it-IT"/>
        </w:rPr>
        <w:t>occlusività</w:t>
      </w:r>
      <w:proofErr w:type="spellEnd"/>
      <w:r w:rsidRPr="00FB172C">
        <w:rPr>
          <w:lang w:val="it-IT"/>
        </w:rPr>
        <w:t xml:space="preserve"> favorisce, in determinate condizioni, la macerazione e l'accumulo di biofilm. </w:t>
      </w:r>
      <w:proofErr w:type="spellStart"/>
      <w:r w:rsidRPr="00FB172C">
        <w:rPr>
          <w:lang w:val="it-IT"/>
        </w:rPr>
        <w:t>Vacutex</w:t>
      </w:r>
      <w:proofErr w:type="spellEnd"/>
      <w:r w:rsidRPr="00FB172C">
        <w:rPr>
          <w:lang w:val="it-IT"/>
        </w:rPr>
        <w:t>® copre uno spettro di indicazioni clinicamente più ampio.</w:t>
      </w:r>
    </w:p>
    <w:p w14:paraId="462E4929" w14:textId="77777777" w:rsidR="00C90E78" w:rsidRPr="00FB172C" w:rsidRDefault="00000000">
      <w:pPr>
        <w:pStyle w:val="Titolo2"/>
        <w:rPr>
          <w:lang w:val="it-IT"/>
        </w:rPr>
      </w:pPr>
      <w:r w:rsidRPr="00FB172C">
        <w:rPr>
          <w:lang w:val="it-IT"/>
        </w:rPr>
        <w:t xml:space="preserve">4.5 </w:t>
      </w:r>
      <w:proofErr w:type="spellStart"/>
      <w:r w:rsidRPr="00FB172C">
        <w:rPr>
          <w:lang w:val="it-IT"/>
        </w:rPr>
        <w:t>Vacutex</w:t>
      </w:r>
      <w:proofErr w:type="spellEnd"/>
      <w:r w:rsidRPr="00FB172C">
        <w:rPr>
          <w:lang w:val="it-IT"/>
        </w:rPr>
        <w:t xml:space="preserve">® vs Medicazioni </w:t>
      </w:r>
      <w:proofErr w:type="spellStart"/>
      <w:r w:rsidRPr="00FB172C">
        <w:rPr>
          <w:lang w:val="it-IT"/>
        </w:rPr>
        <w:t>superassorbenti</w:t>
      </w:r>
      <w:proofErr w:type="spellEnd"/>
    </w:p>
    <w:p w14:paraId="78B97B0A" w14:textId="77777777" w:rsidR="00C90E78" w:rsidRPr="00FB172C" w:rsidRDefault="00000000">
      <w:pPr>
        <w:rPr>
          <w:lang w:val="it-IT"/>
        </w:rPr>
      </w:pPr>
      <w:r w:rsidRPr="00FB172C">
        <w:rPr>
          <w:lang w:val="it-IT"/>
        </w:rPr>
        <w:t xml:space="preserve">Le medicazioni </w:t>
      </w:r>
      <w:proofErr w:type="spellStart"/>
      <w:r w:rsidRPr="00FB172C">
        <w:rPr>
          <w:lang w:val="it-IT"/>
        </w:rPr>
        <w:t>superassorbenti</w:t>
      </w:r>
      <w:proofErr w:type="spellEnd"/>
      <w:r w:rsidRPr="00FB172C">
        <w:rPr>
          <w:lang w:val="it-IT"/>
        </w:rPr>
        <w:t xml:space="preserve"> (polimeri SAP) sono indicate esclusivamente per lesioni a essudato molto abbondante e non offrono alcun effetto sul biofilm, sulle MMP o sul </w:t>
      </w:r>
      <w:proofErr w:type="spellStart"/>
      <w:r w:rsidRPr="00FB172C">
        <w:rPr>
          <w:lang w:val="it-IT"/>
        </w:rPr>
        <w:t>debridement</w:t>
      </w:r>
      <w:proofErr w:type="spellEnd"/>
      <w:r w:rsidRPr="00FB172C">
        <w:rPr>
          <w:lang w:val="it-IT"/>
        </w:rPr>
        <w:t xml:space="preserve">. </w:t>
      </w:r>
      <w:proofErr w:type="spellStart"/>
      <w:r w:rsidRPr="00FB172C">
        <w:rPr>
          <w:lang w:val="it-IT"/>
        </w:rPr>
        <w:t>Vacutex</w:t>
      </w:r>
      <w:proofErr w:type="spellEnd"/>
      <w:r w:rsidRPr="00FB172C">
        <w:rPr>
          <w:lang w:val="it-IT"/>
        </w:rPr>
        <w:t xml:space="preserve">® gestisce in modo analogo i livelli moderati di essudato ma, a parità di gestione del fluido, offre l'azione attiva sul letto della lesione che le </w:t>
      </w:r>
      <w:proofErr w:type="spellStart"/>
      <w:r w:rsidRPr="00FB172C">
        <w:rPr>
          <w:lang w:val="it-IT"/>
        </w:rPr>
        <w:t>superassorbenti</w:t>
      </w:r>
      <w:proofErr w:type="spellEnd"/>
      <w:r w:rsidRPr="00FB172C">
        <w:rPr>
          <w:lang w:val="it-IT"/>
        </w:rPr>
        <w:t xml:space="preserve"> non possiedono.</w:t>
      </w:r>
    </w:p>
    <w:p w14:paraId="7EB223F8" w14:textId="77777777" w:rsidR="00C90E78" w:rsidRPr="00FB172C" w:rsidRDefault="00000000">
      <w:pPr>
        <w:pStyle w:val="Titolo2"/>
        <w:rPr>
          <w:lang w:val="it-IT"/>
        </w:rPr>
      </w:pPr>
      <w:r w:rsidRPr="00FB172C">
        <w:rPr>
          <w:lang w:val="it-IT"/>
        </w:rPr>
        <w:lastRenderedPageBreak/>
        <w:t xml:space="preserve">4.6 </w:t>
      </w:r>
      <w:proofErr w:type="spellStart"/>
      <w:r w:rsidRPr="00FB172C">
        <w:rPr>
          <w:lang w:val="it-IT"/>
        </w:rPr>
        <w:t>Vacutex</w:t>
      </w:r>
      <w:proofErr w:type="spellEnd"/>
      <w:r w:rsidRPr="00FB172C">
        <w:rPr>
          <w:lang w:val="it-IT"/>
        </w:rPr>
        <w:t>® vs Medicazioni antimicrobiche (argento, PHMB, iodio)</w:t>
      </w:r>
    </w:p>
    <w:p w14:paraId="131ACC52" w14:textId="77777777" w:rsidR="00C90E78" w:rsidRPr="00FB172C" w:rsidRDefault="00000000">
      <w:pPr>
        <w:rPr>
          <w:lang w:val="it-IT"/>
        </w:rPr>
      </w:pPr>
      <w:r w:rsidRPr="00FB172C">
        <w:rPr>
          <w:lang w:val="it-IT"/>
        </w:rPr>
        <w:t xml:space="preserve">Le medicazioni antimicrobiche svolgono un ruolo specifico in lesioni infette o ad alto rischio infettivo, ma il loro uso protratto è oggi sconsigliato dalle principali linee guida (EWMA, IWII) per il rischio di selezione di ceppi resistenti, citotossicità sui fibroblasti (argento) e ritardo di guarigione. </w:t>
      </w:r>
      <w:proofErr w:type="spellStart"/>
      <w:r w:rsidRPr="00FB172C">
        <w:rPr>
          <w:lang w:val="it-IT"/>
        </w:rPr>
        <w:t>Vacutex</w:t>
      </w:r>
      <w:proofErr w:type="spellEnd"/>
      <w:r w:rsidRPr="00FB172C">
        <w:rPr>
          <w:lang w:val="it-IT"/>
        </w:rPr>
        <w:t xml:space="preserve">®, riducendo la carica batterica per via meccanica attiva, permette in molti casi di evitare il ricorso prolungato ad antimicrobici locali, in linea con le politiche di </w:t>
      </w:r>
      <w:proofErr w:type="spellStart"/>
      <w:r w:rsidRPr="00FB172C">
        <w:rPr>
          <w:lang w:val="it-IT"/>
        </w:rPr>
        <w:t>antimicrobial</w:t>
      </w:r>
      <w:proofErr w:type="spellEnd"/>
      <w:r w:rsidRPr="00FB172C">
        <w:rPr>
          <w:lang w:val="it-IT"/>
        </w:rPr>
        <w:t xml:space="preserve"> </w:t>
      </w:r>
      <w:proofErr w:type="spellStart"/>
      <w:r w:rsidRPr="00FB172C">
        <w:rPr>
          <w:lang w:val="it-IT"/>
        </w:rPr>
        <w:t>stewardship</w:t>
      </w:r>
      <w:proofErr w:type="spellEnd"/>
      <w:r w:rsidRPr="00FB172C">
        <w:rPr>
          <w:lang w:val="it-IT"/>
        </w:rPr>
        <w:t xml:space="preserve"> del SSN e con il PNCAR. Tale effetto è documentato dallo studio multicentrico di </w:t>
      </w:r>
      <w:proofErr w:type="spellStart"/>
      <w:r w:rsidRPr="00FB172C">
        <w:rPr>
          <w:lang w:val="it-IT"/>
        </w:rPr>
        <w:t>Moratilla</w:t>
      </w:r>
      <w:proofErr w:type="spellEnd"/>
      <w:r w:rsidRPr="00FB172C">
        <w:rPr>
          <w:lang w:val="it-IT"/>
        </w:rPr>
        <w:t xml:space="preserve"> (2022) che ha riportato riduzione dell'infezione e accelerazione della chiusura della ferita in 27 pazienti trattati con </w:t>
      </w:r>
      <w:proofErr w:type="spellStart"/>
      <w:r w:rsidRPr="00FB172C">
        <w:rPr>
          <w:lang w:val="it-IT"/>
        </w:rPr>
        <w:t>Vacutex</w:t>
      </w:r>
      <w:proofErr w:type="spellEnd"/>
      <w:r w:rsidRPr="00FB172C">
        <w:rPr>
          <w:lang w:val="it-IT"/>
        </w:rPr>
        <w:t>®.</w:t>
      </w:r>
    </w:p>
    <w:p w14:paraId="061D1692" w14:textId="77777777" w:rsidR="00C90E78" w:rsidRPr="00FB172C" w:rsidRDefault="00000000">
      <w:pPr>
        <w:rPr>
          <w:lang w:val="it-IT"/>
        </w:rPr>
      </w:pPr>
      <w:r w:rsidRPr="00FB172C">
        <w:rPr>
          <w:lang w:val="it-IT"/>
        </w:rPr>
        <w:br w:type="page"/>
      </w:r>
    </w:p>
    <w:p w14:paraId="24F79C08" w14:textId="77777777" w:rsidR="00C90E78" w:rsidRPr="00FB172C" w:rsidRDefault="00000000">
      <w:pPr>
        <w:pStyle w:val="Titolo1"/>
        <w:rPr>
          <w:lang w:val="it-IT"/>
        </w:rPr>
      </w:pPr>
      <w:r w:rsidRPr="00FB172C">
        <w:rPr>
          <w:lang w:val="it-IT"/>
        </w:rPr>
        <w:lastRenderedPageBreak/>
        <w:t>5. Vantaggi organizzativi e gestionali</w:t>
      </w:r>
    </w:p>
    <w:p w14:paraId="4A29B333" w14:textId="77777777" w:rsidR="00C90E78" w:rsidRPr="00FB172C" w:rsidRDefault="00000000">
      <w:pPr>
        <w:pStyle w:val="Titolo2"/>
        <w:rPr>
          <w:lang w:val="it-IT"/>
        </w:rPr>
      </w:pPr>
      <w:r w:rsidRPr="00FB172C">
        <w:rPr>
          <w:lang w:val="it-IT"/>
        </w:rPr>
        <w:t>5.1 Sistema standardizzato a 2 componenti per la maggior parte delle ferite</w:t>
      </w:r>
    </w:p>
    <w:p w14:paraId="3CCC92A1" w14:textId="77777777" w:rsidR="00C90E78" w:rsidRPr="00FB172C" w:rsidRDefault="00000000">
      <w:pPr>
        <w:rPr>
          <w:lang w:val="it-IT"/>
        </w:rPr>
      </w:pPr>
      <w:r w:rsidRPr="00FB172C">
        <w:rPr>
          <w:lang w:val="it-IT"/>
        </w:rPr>
        <w:t xml:space="preserve">Le strutture sanitarie italiane gestiscono mediamente fra le 80 e le 150 referenze di medicazioni avanzate a magazzino. L'adozione di </w:t>
      </w:r>
      <w:proofErr w:type="spellStart"/>
      <w:r w:rsidRPr="00FB172C">
        <w:rPr>
          <w:lang w:val="it-IT"/>
        </w:rPr>
        <w:t>Vacutex</w:t>
      </w:r>
      <w:proofErr w:type="spellEnd"/>
      <w:r w:rsidRPr="00FB172C">
        <w:rPr>
          <w:lang w:val="it-IT"/>
        </w:rPr>
        <w:t xml:space="preserve">® consente di razionalizzare il prontuario con un sistema standardizzato a due componenti — </w:t>
      </w:r>
      <w:proofErr w:type="spellStart"/>
      <w:r w:rsidRPr="00FB172C">
        <w:rPr>
          <w:lang w:val="it-IT"/>
        </w:rPr>
        <w:t>Vacutex</w:t>
      </w:r>
      <w:proofErr w:type="spellEnd"/>
      <w:r w:rsidRPr="00FB172C">
        <w:rPr>
          <w:lang w:val="it-IT"/>
        </w:rPr>
        <w:t xml:space="preserve">® primario + medicazione secondaria </w:t>
      </w:r>
      <w:proofErr w:type="spellStart"/>
      <w:r w:rsidRPr="00FB172C">
        <w:rPr>
          <w:lang w:val="it-IT"/>
        </w:rPr>
        <w:t>superassorbente</w:t>
      </w:r>
      <w:proofErr w:type="spellEnd"/>
      <w:r w:rsidRPr="00FB172C">
        <w:rPr>
          <w:lang w:val="it-IT"/>
        </w:rPr>
        <w:t xml:space="preserve"> di copertura — sufficiente a coprire le indicazioni più comuni (ulcere venose, ulcere da pressione, lesioni del piede diabetico, deiscenze chirurgiche superficiali, ustioni di II grado, lesioni traumatiche), con i seguenti benefici:</w:t>
      </w:r>
    </w:p>
    <w:p w14:paraId="0F2201EF" w14:textId="77777777" w:rsidR="00C90E78" w:rsidRPr="00FB172C" w:rsidRDefault="00000000">
      <w:pPr>
        <w:pStyle w:val="Puntoelenco"/>
        <w:rPr>
          <w:lang w:val="it-IT"/>
        </w:rPr>
      </w:pPr>
      <w:r w:rsidRPr="00FB172C">
        <w:rPr>
          <w:lang w:val="it-IT"/>
        </w:rPr>
        <w:t>semplificazione della formazione del personale infermieristico;</w:t>
      </w:r>
    </w:p>
    <w:p w14:paraId="26B0E054" w14:textId="77777777" w:rsidR="00C90E78" w:rsidRPr="00FB172C" w:rsidRDefault="00000000">
      <w:pPr>
        <w:pStyle w:val="Puntoelenco"/>
        <w:rPr>
          <w:lang w:val="it-IT"/>
        </w:rPr>
      </w:pPr>
      <w:r w:rsidRPr="00FB172C">
        <w:rPr>
          <w:lang w:val="it-IT"/>
        </w:rPr>
        <w:t>riduzione degli errori di scelta della medicazione;</w:t>
      </w:r>
    </w:p>
    <w:p w14:paraId="6A9ABA53" w14:textId="77777777" w:rsidR="00C90E78" w:rsidRPr="00FB172C" w:rsidRDefault="00000000">
      <w:pPr>
        <w:pStyle w:val="Puntoelenco"/>
        <w:rPr>
          <w:lang w:val="it-IT"/>
        </w:rPr>
      </w:pPr>
      <w:r w:rsidRPr="00FB172C">
        <w:rPr>
          <w:lang w:val="it-IT"/>
        </w:rPr>
        <w:t>semplificazione della logistica e della gestione delle scadenze;</w:t>
      </w:r>
    </w:p>
    <w:p w14:paraId="4CEAEAC0" w14:textId="77777777" w:rsidR="00C90E78" w:rsidRPr="00FB172C" w:rsidRDefault="00000000">
      <w:pPr>
        <w:pStyle w:val="Puntoelenco"/>
        <w:rPr>
          <w:lang w:val="it-IT"/>
        </w:rPr>
      </w:pPr>
      <w:r w:rsidRPr="00FB172C">
        <w:rPr>
          <w:lang w:val="it-IT"/>
        </w:rPr>
        <w:t>riduzione del capitale immobilizzato a magazzino.</w:t>
      </w:r>
    </w:p>
    <w:p w14:paraId="6B3CB777" w14:textId="77777777" w:rsidR="00C90E78" w:rsidRPr="00FB172C" w:rsidRDefault="00000000">
      <w:pPr>
        <w:pStyle w:val="Titolo2"/>
        <w:rPr>
          <w:lang w:val="it-IT"/>
        </w:rPr>
      </w:pPr>
      <w:r w:rsidRPr="00FB172C">
        <w:rPr>
          <w:lang w:val="it-IT"/>
        </w:rPr>
        <w:t>5.2 Riduzione del carico di lavoro infermieristico</w:t>
      </w:r>
    </w:p>
    <w:p w14:paraId="135749C4" w14:textId="77777777" w:rsidR="00C90E78" w:rsidRPr="00FB172C" w:rsidRDefault="00000000">
      <w:pPr>
        <w:rPr>
          <w:lang w:val="it-IT"/>
        </w:rPr>
      </w:pPr>
      <w:r w:rsidRPr="00FB172C">
        <w:rPr>
          <w:lang w:val="it-IT"/>
        </w:rPr>
        <w:t xml:space="preserve">La maggiore durata del sistema </w:t>
      </w:r>
      <w:proofErr w:type="spellStart"/>
      <w:r w:rsidRPr="00FB172C">
        <w:rPr>
          <w:lang w:val="it-IT"/>
        </w:rPr>
        <w:t>Vacutex</w:t>
      </w:r>
      <w:proofErr w:type="spellEnd"/>
      <w:r w:rsidRPr="00FB172C">
        <w:rPr>
          <w:lang w:val="it-IT"/>
        </w:rPr>
        <w:t xml:space="preserve">® + secondaria </w:t>
      </w:r>
      <w:proofErr w:type="spellStart"/>
      <w:r w:rsidRPr="00FB172C">
        <w:rPr>
          <w:lang w:val="it-IT"/>
        </w:rPr>
        <w:t>superassorbente</w:t>
      </w:r>
      <w:proofErr w:type="spellEnd"/>
      <w:r w:rsidRPr="00FB172C">
        <w:rPr>
          <w:lang w:val="it-IT"/>
        </w:rPr>
        <w:t xml:space="preserve"> (cambio ogni 2-4 giorni nelle indicazioni di interesse) rispetto alla frequenza di cambio richiesta da molte medicazioni tradizionali, unita alla standardizzazione del sistema, comporta una riduzione documentata del tempo-infermiere dedicato alla gestione della singola lesione.</w:t>
      </w:r>
    </w:p>
    <w:p w14:paraId="16B5AFA9" w14:textId="77777777" w:rsidR="00C90E78" w:rsidRPr="00FB172C" w:rsidRDefault="00000000">
      <w:pPr>
        <w:pStyle w:val="Titolo2"/>
        <w:rPr>
          <w:lang w:val="it-IT"/>
        </w:rPr>
      </w:pPr>
      <w:r w:rsidRPr="00FB172C">
        <w:rPr>
          <w:lang w:val="it-IT"/>
        </w:rPr>
        <w:t>5.3 Idoneità in tutti i setting assistenziali</w:t>
      </w:r>
    </w:p>
    <w:p w14:paraId="5320967F" w14:textId="77777777" w:rsidR="00C90E78" w:rsidRPr="00FB172C" w:rsidRDefault="00000000">
      <w:pPr>
        <w:rPr>
          <w:lang w:val="it-IT"/>
        </w:rPr>
      </w:pPr>
      <w:proofErr w:type="spellStart"/>
      <w:r w:rsidRPr="00FB172C">
        <w:rPr>
          <w:lang w:val="it-IT"/>
        </w:rPr>
        <w:t>Vacutex</w:t>
      </w:r>
      <w:proofErr w:type="spellEnd"/>
      <w:r w:rsidRPr="00FB172C">
        <w:rPr>
          <w:lang w:val="it-IT"/>
        </w:rPr>
        <w:t>® è utilizzabile indifferentemente in:</w:t>
      </w:r>
    </w:p>
    <w:p w14:paraId="243A7781" w14:textId="77777777" w:rsidR="00C90E78" w:rsidRPr="00FB172C" w:rsidRDefault="00000000">
      <w:pPr>
        <w:pStyle w:val="Puntoelenco"/>
        <w:rPr>
          <w:lang w:val="it-IT"/>
        </w:rPr>
      </w:pPr>
      <w:r w:rsidRPr="00FB172C">
        <w:rPr>
          <w:lang w:val="it-IT"/>
        </w:rPr>
        <w:t>reparti ospedalieri (medicina, chirurgia, geriatria, ortopedia);</w:t>
      </w:r>
    </w:p>
    <w:p w14:paraId="720762E2" w14:textId="77777777" w:rsidR="00C90E78" w:rsidRPr="00FB172C" w:rsidRDefault="00000000">
      <w:pPr>
        <w:pStyle w:val="Puntoelenco"/>
        <w:rPr>
          <w:lang w:val="it-IT"/>
        </w:rPr>
      </w:pPr>
      <w:r w:rsidRPr="00FB172C">
        <w:rPr>
          <w:lang w:val="it-IT"/>
        </w:rPr>
        <w:t>ambulatori specialistici (vulnologia, diabetologia, chirurgia);</w:t>
      </w:r>
    </w:p>
    <w:p w14:paraId="20695BD5" w14:textId="77777777" w:rsidR="00C90E78" w:rsidRDefault="00000000">
      <w:pPr>
        <w:pStyle w:val="Puntoelenco"/>
      </w:pPr>
      <w:proofErr w:type="spellStart"/>
      <w:r>
        <w:t>lungodegenze</w:t>
      </w:r>
      <w:proofErr w:type="spellEnd"/>
      <w:r>
        <w:t>, RSA, hospice;</w:t>
      </w:r>
    </w:p>
    <w:p w14:paraId="04F4CB3B" w14:textId="77777777" w:rsidR="00C90E78" w:rsidRPr="00FB172C" w:rsidRDefault="00000000">
      <w:pPr>
        <w:pStyle w:val="Puntoelenco"/>
        <w:rPr>
          <w:lang w:val="it-IT"/>
        </w:rPr>
      </w:pPr>
      <w:r w:rsidRPr="00FB172C">
        <w:rPr>
          <w:lang w:val="it-IT"/>
        </w:rPr>
        <w:t>assistenza domiciliare integrata (ADI) e cure primarie;</w:t>
      </w:r>
    </w:p>
    <w:p w14:paraId="3E254989" w14:textId="77777777" w:rsidR="00C90E78" w:rsidRDefault="00000000">
      <w:pPr>
        <w:pStyle w:val="Puntoelenco"/>
      </w:pPr>
      <w:r>
        <w:t xml:space="preserve">pronto </w:t>
      </w:r>
      <w:proofErr w:type="spellStart"/>
      <w:r>
        <w:t>soccorso</w:t>
      </w:r>
      <w:proofErr w:type="spellEnd"/>
      <w:r>
        <w:t>.</w:t>
      </w:r>
    </w:p>
    <w:p w14:paraId="3782E1F7" w14:textId="77777777" w:rsidR="00C90E78" w:rsidRDefault="00000000">
      <w:r>
        <w:br w:type="page"/>
      </w:r>
    </w:p>
    <w:p w14:paraId="3323885D" w14:textId="77777777" w:rsidR="00C90E78" w:rsidRDefault="00000000">
      <w:pPr>
        <w:pStyle w:val="Titolo1"/>
      </w:pPr>
      <w:r>
        <w:lastRenderedPageBreak/>
        <w:t>6. Vantaggi economici</w:t>
      </w:r>
    </w:p>
    <w:p w14:paraId="75332422" w14:textId="77777777" w:rsidR="00C90E78" w:rsidRDefault="00000000">
      <w:pPr>
        <w:pStyle w:val="Titolo2"/>
      </w:pPr>
      <w:r>
        <w:t>6.1 Costo complessivo del trattamento</w:t>
      </w:r>
    </w:p>
    <w:p w14:paraId="45FE3013" w14:textId="77777777" w:rsidR="00C90E78" w:rsidRPr="00FB172C" w:rsidRDefault="00000000">
      <w:pPr>
        <w:rPr>
          <w:lang w:val="it-IT"/>
        </w:rPr>
      </w:pPr>
      <w:r w:rsidRPr="00FB172C">
        <w:rPr>
          <w:lang w:val="it-IT"/>
        </w:rPr>
        <w:t>Il costo della medicazione è solo una componente del costo complessivo del trattamento di una ferita, che comprende anche:</w:t>
      </w:r>
    </w:p>
    <w:p w14:paraId="43872F54" w14:textId="77777777" w:rsidR="00C90E78" w:rsidRDefault="00000000">
      <w:pPr>
        <w:pStyle w:val="Puntoelenco"/>
      </w:pPr>
      <w:proofErr w:type="spellStart"/>
      <w:r>
        <w:t>costo</w:t>
      </w:r>
      <w:proofErr w:type="spellEnd"/>
      <w:r>
        <w:t xml:space="preserve"> del </w:t>
      </w:r>
      <w:proofErr w:type="spellStart"/>
      <w:r>
        <w:t>personale</w:t>
      </w:r>
      <w:proofErr w:type="spellEnd"/>
      <w:r>
        <w:t xml:space="preserve"> </w:t>
      </w:r>
      <w:proofErr w:type="spellStart"/>
      <w:r>
        <w:t>infermieristico</w:t>
      </w:r>
      <w:proofErr w:type="spellEnd"/>
      <w:r>
        <w:t>;</w:t>
      </w:r>
    </w:p>
    <w:p w14:paraId="342F8EF8" w14:textId="77777777" w:rsidR="00C90E78" w:rsidRPr="00FB172C" w:rsidRDefault="00000000">
      <w:pPr>
        <w:pStyle w:val="Puntoelenco"/>
        <w:rPr>
          <w:lang w:val="it-IT"/>
        </w:rPr>
      </w:pPr>
      <w:r w:rsidRPr="00FB172C">
        <w:rPr>
          <w:lang w:val="it-IT"/>
        </w:rPr>
        <w:t>costo delle medicazioni secondarie e dei fissaggi;</w:t>
      </w:r>
    </w:p>
    <w:p w14:paraId="1F8C97B0" w14:textId="77777777" w:rsidR="00C90E78" w:rsidRPr="00FB172C" w:rsidRDefault="00000000">
      <w:pPr>
        <w:pStyle w:val="Puntoelenco"/>
        <w:rPr>
          <w:lang w:val="it-IT"/>
        </w:rPr>
      </w:pPr>
      <w:r w:rsidRPr="00FB172C">
        <w:rPr>
          <w:lang w:val="it-IT"/>
        </w:rPr>
        <w:t>costo degli antimicrobici (locali e sistemici);</w:t>
      </w:r>
    </w:p>
    <w:p w14:paraId="6FA3FB60" w14:textId="77777777" w:rsidR="00C90E78" w:rsidRPr="00FB172C" w:rsidRDefault="00000000">
      <w:pPr>
        <w:pStyle w:val="Puntoelenco"/>
        <w:rPr>
          <w:lang w:val="it-IT"/>
        </w:rPr>
      </w:pPr>
      <w:r w:rsidRPr="00FB172C">
        <w:rPr>
          <w:lang w:val="it-IT"/>
        </w:rPr>
        <w:t xml:space="preserve">costo di prolungamenti di ricovero o </w:t>
      </w:r>
      <w:proofErr w:type="spellStart"/>
      <w:r w:rsidRPr="00FB172C">
        <w:rPr>
          <w:lang w:val="it-IT"/>
        </w:rPr>
        <w:t>reospedalizzazioni</w:t>
      </w:r>
      <w:proofErr w:type="spellEnd"/>
      <w:r w:rsidRPr="00FB172C">
        <w:rPr>
          <w:lang w:val="it-IT"/>
        </w:rPr>
        <w:t xml:space="preserve"> per ferite non risolte;</w:t>
      </w:r>
    </w:p>
    <w:p w14:paraId="00EF73CF" w14:textId="77777777" w:rsidR="00C90E78" w:rsidRDefault="00000000">
      <w:pPr>
        <w:pStyle w:val="Puntoelenco"/>
      </w:pPr>
      <w:proofErr w:type="spellStart"/>
      <w:r>
        <w:t>costo</w:t>
      </w:r>
      <w:proofErr w:type="spellEnd"/>
      <w:r>
        <w:t xml:space="preserve"> </w:t>
      </w:r>
      <w:proofErr w:type="spellStart"/>
      <w:r>
        <w:t>dei</w:t>
      </w:r>
      <w:proofErr w:type="spellEnd"/>
      <w:r>
        <w:t xml:space="preserve"> </w:t>
      </w:r>
      <w:proofErr w:type="spellStart"/>
      <w:r>
        <w:t>rifiuti</w:t>
      </w:r>
      <w:proofErr w:type="spellEnd"/>
      <w:r>
        <w:t xml:space="preserve"> </w:t>
      </w:r>
      <w:proofErr w:type="spellStart"/>
      <w:r>
        <w:t>sanitari</w:t>
      </w:r>
      <w:proofErr w:type="spellEnd"/>
      <w:r>
        <w:t>.</w:t>
      </w:r>
    </w:p>
    <w:p w14:paraId="7D3A8F42" w14:textId="77777777" w:rsidR="00C90E78" w:rsidRPr="00FB172C" w:rsidRDefault="00000000">
      <w:pPr>
        <w:rPr>
          <w:lang w:val="it-IT"/>
        </w:rPr>
      </w:pPr>
      <w:r w:rsidRPr="00FB172C">
        <w:rPr>
          <w:lang w:val="it-IT"/>
        </w:rPr>
        <w:t xml:space="preserve">Numerose esperienze cliniche internazionali documentano che, pur a fronte di un costo unitario per pezzo paragonabile o lievemente superiore a quello delle medicazioni avanzate tradizionali, </w:t>
      </w:r>
      <w:proofErr w:type="spellStart"/>
      <w:r w:rsidRPr="00FB172C">
        <w:rPr>
          <w:lang w:val="it-IT"/>
        </w:rPr>
        <w:t>Vacutex</w:t>
      </w:r>
      <w:proofErr w:type="spellEnd"/>
      <w:r w:rsidRPr="00FB172C">
        <w:rPr>
          <w:lang w:val="it-IT"/>
        </w:rPr>
        <w:t>® determina una riduzione del costo complessivo del trattamento per:</w:t>
      </w:r>
    </w:p>
    <w:p w14:paraId="4A96C69F" w14:textId="77777777" w:rsidR="00C90E78" w:rsidRPr="00FB172C" w:rsidRDefault="00000000">
      <w:pPr>
        <w:pStyle w:val="Puntoelenco"/>
        <w:rPr>
          <w:lang w:val="it-IT"/>
        </w:rPr>
      </w:pPr>
      <w:r w:rsidRPr="00FB172C">
        <w:rPr>
          <w:lang w:val="it-IT"/>
        </w:rPr>
        <w:t xml:space="preserve">riduzione della frequenza dei cambi (–30%/–50% rispetto a schiume e </w:t>
      </w:r>
      <w:proofErr w:type="spellStart"/>
      <w:r w:rsidRPr="00FB172C">
        <w:rPr>
          <w:lang w:val="it-IT"/>
        </w:rPr>
        <w:t>idrofibre</w:t>
      </w:r>
      <w:proofErr w:type="spellEnd"/>
      <w:r w:rsidRPr="00FB172C">
        <w:rPr>
          <w:lang w:val="it-IT"/>
        </w:rPr>
        <w:t xml:space="preserve"> in lesioni essudanti);</w:t>
      </w:r>
    </w:p>
    <w:p w14:paraId="154E9981" w14:textId="77777777" w:rsidR="00C90E78" w:rsidRPr="00FB172C" w:rsidRDefault="00000000">
      <w:pPr>
        <w:pStyle w:val="Puntoelenco"/>
        <w:rPr>
          <w:lang w:val="it-IT"/>
        </w:rPr>
      </w:pPr>
      <w:r w:rsidRPr="00FB172C">
        <w:rPr>
          <w:lang w:val="it-IT"/>
        </w:rPr>
        <w:t>standardizzazione del sistema a due componenti (</w:t>
      </w:r>
      <w:proofErr w:type="spellStart"/>
      <w:r w:rsidRPr="00FB172C">
        <w:rPr>
          <w:lang w:val="it-IT"/>
        </w:rPr>
        <w:t>Vacutex</w:t>
      </w:r>
      <w:proofErr w:type="spellEnd"/>
      <w:r w:rsidRPr="00FB172C">
        <w:rPr>
          <w:lang w:val="it-IT"/>
        </w:rPr>
        <w:t xml:space="preserve"> + </w:t>
      </w:r>
      <w:proofErr w:type="spellStart"/>
      <w:r w:rsidRPr="00FB172C">
        <w:rPr>
          <w:lang w:val="it-IT"/>
        </w:rPr>
        <w:t>superassorbente</w:t>
      </w:r>
      <w:proofErr w:type="spellEnd"/>
      <w:r w:rsidRPr="00FB172C">
        <w:rPr>
          <w:lang w:val="it-IT"/>
        </w:rPr>
        <w:t>), riducendo la combinatoria di medicazioni primarie e secondarie alternative;</w:t>
      </w:r>
    </w:p>
    <w:p w14:paraId="0363B83E" w14:textId="77777777" w:rsidR="00C90E78" w:rsidRPr="00FB172C" w:rsidRDefault="00000000">
      <w:pPr>
        <w:pStyle w:val="Puntoelenco"/>
        <w:rPr>
          <w:lang w:val="it-IT"/>
        </w:rPr>
      </w:pPr>
      <w:r w:rsidRPr="00FB172C">
        <w:rPr>
          <w:lang w:val="it-IT"/>
        </w:rPr>
        <w:t>riduzione dei tempi di guarigione attesi grazie alla rimozione attiva di MMP e biofilm;</w:t>
      </w:r>
    </w:p>
    <w:p w14:paraId="239FD5DA" w14:textId="77777777" w:rsidR="00C90E78" w:rsidRPr="00FB172C" w:rsidRDefault="00000000">
      <w:pPr>
        <w:pStyle w:val="Puntoelenco"/>
        <w:rPr>
          <w:lang w:val="it-IT"/>
        </w:rPr>
      </w:pPr>
      <w:r w:rsidRPr="00FB172C">
        <w:rPr>
          <w:lang w:val="it-IT"/>
        </w:rPr>
        <w:t>riduzione del ricorso ad antimicrobici locali;</w:t>
      </w:r>
    </w:p>
    <w:p w14:paraId="45DBCFEE" w14:textId="77777777" w:rsidR="00C90E78" w:rsidRPr="00FB172C" w:rsidRDefault="00000000">
      <w:pPr>
        <w:pStyle w:val="Puntoelenco"/>
        <w:rPr>
          <w:lang w:val="it-IT"/>
        </w:rPr>
      </w:pPr>
      <w:r w:rsidRPr="00FB172C">
        <w:rPr>
          <w:lang w:val="it-IT"/>
        </w:rPr>
        <w:t>riduzione del tempo-infermiere per lesione.</w:t>
      </w:r>
    </w:p>
    <w:p w14:paraId="1CC4BF18" w14:textId="77777777" w:rsidR="00C90E78" w:rsidRPr="00FB172C" w:rsidRDefault="00000000">
      <w:pPr>
        <w:pStyle w:val="Titolo2"/>
        <w:rPr>
          <w:lang w:val="it-IT"/>
        </w:rPr>
      </w:pPr>
      <w:r w:rsidRPr="00FB172C">
        <w:rPr>
          <w:lang w:val="it-IT"/>
        </w:rPr>
        <w:t>6.2 Costi indiretti evitati</w:t>
      </w:r>
    </w:p>
    <w:p w14:paraId="42E3C932" w14:textId="77777777" w:rsidR="00C90E78" w:rsidRPr="00FB172C" w:rsidRDefault="00000000">
      <w:pPr>
        <w:rPr>
          <w:lang w:val="it-IT"/>
        </w:rPr>
      </w:pPr>
      <w:r w:rsidRPr="00FB172C">
        <w:rPr>
          <w:lang w:val="it-IT"/>
        </w:rPr>
        <w:t xml:space="preserve">Oltre al costo diretto, </w:t>
      </w:r>
      <w:proofErr w:type="spellStart"/>
      <w:r w:rsidRPr="00FB172C">
        <w:rPr>
          <w:lang w:val="it-IT"/>
        </w:rPr>
        <w:t>Vacutex</w:t>
      </w:r>
      <w:proofErr w:type="spellEnd"/>
      <w:r w:rsidRPr="00FB172C">
        <w:rPr>
          <w:lang w:val="it-IT"/>
        </w:rPr>
        <w:t>® consente di evitare:</w:t>
      </w:r>
    </w:p>
    <w:p w14:paraId="37AA55F6" w14:textId="77777777" w:rsidR="00C90E78" w:rsidRPr="00FB172C" w:rsidRDefault="00000000">
      <w:pPr>
        <w:pStyle w:val="Puntoelenco"/>
        <w:rPr>
          <w:lang w:val="it-IT"/>
        </w:rPr>
      </w:pPr>
      <w:r w:rsidRPr="00FB172C">
        <w:rPr>
          <w:lang w:val="it-IT"/>
        </w:rPr>
        <w:t>costi di gestione di una pluralità di referenze a magazzino;</w:t>
      </w:r>
    </w:p>
    <w:p w14:paraId="1CB08D32" w14:textId="77777777" w:rsidR="00C90E78" w:rsidRPr="00FB172C" w:rsidRDefault="00000000">
      <w:pPr>
        <w:pStyle w:val="Puntoelenco"/>
        <w:rPr>
          <w:lang w:val="it-IT"/>
        </w:rPr>
      </w:pPr>
      <w:r w:rsidRPr="00FB172C">
        <w:rPr>
          <w:lang w:val="it-IT"/>
        </w:rPr>
        <w:t>costi di formazione del personale su molteplici prodotti;</w:t>
      </w:r>
    </w:p>
    <w:p w14:paraId="3C256DF0" w14:textId="77777777" w:rsidR="00C90E78" w:rsidRPr="00FB172C" w:rsidRDefault="00000000">
      <w:pPr>
        <w:pStyle w:val="Puntoelenco"/>
        <w:rPr>
          <w:lang w:val="it-IT"/>
        </w:rPr>
      </w:pPr>
      <w:r w:rsidRPr="00FB172C">
        <w:rPr>
          <w:lang w:val="it-IT"/>
        </w:rPr>
        <w:t>costi connessi alla gestione delle complicanze (macerazione, MARSI, infezioni);</w:t>
      </w:r>
    </w:p>
    <w:p w14:paraId="02F76190" w14:textId="77777777" w:rsidR="00C90E78" w:rsidRPr="00FB172C" w:rsidRDefault="00000000">
      <w:pPr>
        <w:pStyle w:val="Puntoelenco"/>
        <w:rPr>
          <w:lang w:val="it-IT"/>
        </w:rPr>
      </w:pPr>
      <w:r w:rsidRPr="00FB172C">
        <w:rPr>
          <w:lang w:val="it-IT"/>
        </w:rPr>
        <w:t>costi delle terapie antimicrobiche aggiuntive.</w:t>
      </w:r>
    </w:p>
    <w:p w14:paraId="67668ED4" w14:textId="77777777" w:rsidR="00C90E78" w:rsidRPr="00FB172C" w:rsidRDefault="00000000">
      <w:pPr>
        <w:rPr>
          <w:lang w:val="it-IT"/>
        </w:rPr>
      </w:pPr>
      <w:r w:rsidRPr="00FB172C">
        <w:rPr>
          <w:lang w:val="it-IT"/>
        </w:rPr>
        <w:br w:type="page"/>
      </w:r>
    </w:p>
    <w:p w14:paraId="648239BA" w14:textId="77777777" w:rsidR="00C90E78" w:rsidRPr="00FB172C" w:rsidRDefault="00000000">
      <w:pPr>
        <w:pStyle w:val="Titolo1"/>
        <w:rPr>
          <w:lang w:val="it-IT"/>
        </w:rPr>
      </w:pPr>
      <w:r w:rsidRPr="00FB172C">
        <w:rPr>
          <w:lang w:val="it-IT"/>
        </w:rPr>
        <w:lastRenderedPageBreak/>
        <w:t xml:space="preserve">7. Indicazioni cliniche per </w:t>
      </w:r>
      <w:proofErr w:type="spellStart"/>
      <w:r w:rsidRPr="00FB172C">
        <w:rPr>
          <w:lang w:val="it-IT"/>
        </w:rPr>
        <w:t>Vacutex</w:t>
      </w:r>
      <w:proofErr w:type="spellEnd"/>
      <w:r w:rsidRPr="00FB172C">
        <w:rPr>
          <w:lang w:val="it-IT"/>
        </w:rPr>
        <w:t>®</w:t>
      </w:r>
    </w:p>
    <w:p w14:paraId="72ED75D3" w14:textId="77777777" w:rsidR="00C90E78" w:rsidRPr="00FB172C" w:rsidRDefault="00000000">
      <w:pPr>
        <w:rPr>
          <w:lang w:val="it-IT"/>
        </w:rPr>
      </w:pPr>
      <w:r w:rsidRPr="00FB172C">
        <w:rPr>
          <w:lang w:val="it-IT"/>
        </w:rPr>
        <w:t xml:space="preserve">Sulla base della letteratura disponibile e delle esperienze cliniche internazionali, </w:t>
      </w:r>
      <w:proofErr w:type="spellStart"/>
      <w:r w:rsidRPr="00FB172C">
        <w:rPr>
          <w:lang w:val="it-IT"/>
        </w:rPr>
        <w:t>Vacutex</w:t>
      </w:r>
      <w:proofErr w:type="spellEnd"/>
      <w:r w:rsidRPr="00FB172C">
        <w:rPr>
          <w:lang w:val="it-IT"/>
        </w:rPr>
        <w:t>® è raccomandato per:</w:t>
      </w:r>
    </w:p>
    <w:p w14:paraId="1ACE1704" w14:textId="77777777" w:rsidR="00C90E78" w:rsidRPr="00FB172C" w:rsidRDefault="00000000">
      <w:pPr>
        <w:pStyle w:val="Puntoelenco"/>
        <w:rPr>
          <w:lang w:val="it-IT"/>
        </w:rPr>
      </w:pPr>
      <w:r w:rsidRPr="00FB172C">
        <w:rPr>
          <w:lang w:val="it-IT"/>
        </w:rPr>
        <w:t>ulcere venose degli arti inferiori, anche di grado severo, in associazione con terapia compressiva;</w:t>
      </w:r>
    </w:p>
    <w:p w14:paraId="6F55B590" w14:textId="77777777" w:rsidR="00C90E78" w:rsidRPr="00FB172C" w:rsidRDefault="00000000">
      <w:pPr>
        <w:pStyle w:val="Puntoelenco"/>
        <w:rPr>
          <w:lang w:val="it-IT"/>
        </w:rPr>
      </w:pPr>
      <w:r w:rsidRPr="00FB172C">
        <w:rPr>
          <w:lang w:val="it-IT"/>
        </w:rPr>
        <w:t>ulcere arteriose e miste con essudato moderato/abbondante;</w:t>
      </w:r>
    </w:p>
    <w:p w14:paraId="46234F98" w14:textId="77777777" w:rsidR="00C90E78" w:rsidRPr="00FB172C" w:rsidRDefault="00000000">
      <w:pPr>
        <w:pStyle w:val="Puntoelenco"/>
        <w:rPr>
          <w:lang w:val="it-IT"/>
        </w:rPr>
      </w:pPr>
      <w:r w:rsidRPr="00FB172C">
        <w:rPr>
          <w:lang w:val="it-IT"/>
        </w:rPr>
        <w:t>ulcere da pressione di II, III e IV grado;</w:t>
      </w:r>
    </w:p>
    <w:p w14:paraId="53B164D7" w14:textId="77777777" w:rsidR="00C90E78" w:rsidRPr="00FB172C" w:rsidRDefault="00000000">
      <w:pPr>
        <w:pStyle w:val="Puntoelenco"/>
        <w:rPr>
          <w:lang w:val="it-IT"/>
        </w:rPr>
      </w:pPr>
      <w:r w:rsidRPr="00FB172C">
        <w:rPr>
          <w:lang w:val="it-IT"/>
        </w:rPr>
        <w:t>lesioni del piede diabetico in fase di detersione e granulazione;</w:t>
      </w:r>
    </w:p>
    <w:p w14:paraId="57767827" w14:textId="77777777" w:rsidR="00C90E78" w:rsidRDefault="00000000">
      <w:pPr>
        <w:pStyle w:val="Puntoelenco"/>
      </w:pPr>
      <w:proofErr w:type="spellStart"/>
      <w:r>
        <w:t>deiscenze</w:t>
      </w:r>
      <w:proofErr w:type="spellEnd"/>
      <w:r>
        <w:t xml:space="preserve"> post-</w:t>
      </w:r>
      <w:proofErr w:type="spellStart"/>
      <w:r>
        <w:t>chirurgiche</w:t>
      </w:r>
      <w:proofErr w:type="spellEnd"/>
      <w:r>
        <w:t xml:space="preserve"> </w:t>
      </w:r>
      <w:proofErr w:type="spellStart"/>
      <w:r>
        <w:t>superficiali</w:t>
      </w:r>
      <w:proofErr w:type="spellEnd"/>
      <w:r>
        <w:t>;</w:t>
      </w:r>
    </w:p>
    <w:p w14:paraId="76EC4728" w14:textId="77777777" w:rsidR="00C90E78" w:rsidRDefault="00000000">
      <w:pPr>
        <w:pStyle w:val="Puntoelenco"/>
      </w:pPr>
      <w:r>
        <w:t>ustioni di II grado;</w:t>
      </w:r>
    </w:p>
    <w:p w14:paraId="6172C550" w14:textId="77777777" w:rsidR="00C90E78" w:rsidRPr="00FB172C" w:rsidRDefault="00000000">
      <w:pPr>
        <w:pStyle w:val="Puntoelenco"/>
        <w:rPr>
          <w:lang w:val="it-IT"/>
        </w:rPr>
      </w:pPr>
      <w:r w:rsidRPr="00FB172C">
        <w:rPr>
          <w:lang w:val="it-IT"/>
        </w:rPr>
        <w:t>lesioni traumatiche con elevato carico fibrino-necrotico;</w:t>
      </w:r>
    </w:p>
    <w:p w14:paraId="0B086A9A" w14:textId="77777777" w:rsidR="00C90E78" w:rsidRPr="00FB172C" w:rsidRDefault="00000000">
      <w:pPr>
        <w:pStyle w:val="Puntoelenco"/>
        <w:rPr>
          <w:lang w:val="it-IT"/>
        </w:rPr>
      </w:pPr>
      <w:r w:rsidRPr="00FB172C">
        <w:rPr>
          <w:lang w:val="it-IT"/>
        </w:rPr>
        <w:t>preparazione del letto della lesione (</w:t>
      </w:r>
      <w:proofErr w:type="spellStart"/>
      <w:r w:rsidRPr="00FB172C">
        <w:rPr>
          <w:lang w:val="it-IT"/>
        </w:rPr>
        <w:t>wound</w:t>
      </w:r>
      <w:proofErr w:type="spellEnd"/>
      <w:r w:rsidRPr="00FB172C">
        <w:rPr>
          <w:lang w:val="it-IT"/>
        </w:rPr>
        <w:t xml:space="preserve"> bed </w:t>
      </w:r>
      <w:proofErr w:type="spellStart"/>
      <w:r w:rsidRPr="00FB172C">
        <w:rPr>
          <w:lang w:val="it-IT"/>
        </w:rPr>
        <w:t>preparation</w:t>
      </w:r>
      <w:proofErr w:type="spellEnd"/>
      <w:r w:rsidRPr="00FB172C">
        <w:rPr>
          <w:lang w:val="it-IT"/>
        </w:rPr>
        <w:t>) prima di innesti cutanei;</w:t>
      </w:r>
    </w:p>
    <w:p w14:paraId="5CEE55EF" w14:textId="77777777" w:rsidR="00C90E78" w:rsidRPr="00FB172C" w:rsidRDefault="00000000">
      <w:pPr>
        <w:pStyle w:val="Puntoelenco"/>
        <w:rPr>
          <w:lang w:val="it-IT"/>
        </w:rPr>
      </w:pPr>
      <w:r w:rsidRPr="00FB172C">
        <w:rPr>
          <w:lang w:val="it-IT"/>
        </w:rPr>
        <w:t>gestione delle lesioni croniche in pazienti fragili, anziani, con cute compromessa.</w:t>
      </w:r>
    </w:p>
    <w:p w14:paraId="3E63904F" w14:textId="77777777" w:rsidR="00C90E78" w:rsidRPr="00FB172C" w:rsidRDefault="00000000">
      <w:pPr>
        <w:pStyle w:val="Titolo2"/>
        <w:rPr>
          <w:lang w:val="it-IT"/>
        </w:rPr>
      </w:pPr>
      <w:r w:rsidRPr="00FB172C">
        <w:rPr>
          <w:lang w:val="it-IT"/>
        </w:rPr>
        <w:t xml:space="preserve">7.1 Indicazioni dove </w:t>
      </w:r>
      <w:proofErr w:type="spellStart"/>
      <w:r w:rsidRPr="00FB172C">
        <w:rPr>
          <w:lang w:val="it-IT"/>
        </w:rPr>
        <w:t>Vacutex</w:t>
      </w:r>
      <w:proofErr w:type="spellEnd"/>
      <w:r w:rsidRPr="00FB172C">
        <w:rPr>
          <w:lang w:val="it-IT"/>
        </w:rPr>
        <w:t>® non è la prima scelta</w:t>
      </w:r>
    </w:p>
    <w:p w14:paraId="0CA4026A" w14:textId="77777777" w:rsidR="00C90E78" w:rsidRPr="00FB172C" w:rsidRDefault="00000000">
      <w:pPr>
        <w:rPr>
          <w:lang w:val="it-IT"/>
        </w:rPr>
      </w:pPr>
      <w:r w:rsidRPr="00FB172C">
        <w:rPr>
          <w:lang w:val="it-IT"/>
        </w:rPr>
        <w:t xml:space="preserve">Per equità di trattazione si segnala che </w:t>
      </w:r>
      <w:proofErr w:type="spellStart"/>
      <w:r w:rsidRPr="00FB172C">
        <w:rPr>
          <w:lang w:val="it-IT"/>
        </w:rPr>
        <w:t>Vacutex</w:t>
      </w:r>
      <w:proofErr w:type="spellEnd"/>
      <w:r w:rsidRPr="00FB172C">
        <w:rPr>
          <w:lang w:val="it-IT"/>
        </w:rPr>
        <w:t>® non è la medicazione di prima scelta nei seguenti casi:</w:t>
      </w:r>
    </w:p>
    <w:p w14:paraId="0AFD5C93" w14:textId="77777777" w:rsidR="00C90E78" w:rsidRPr="00FB172C" w:rsidRDefault="00000000">
      <w:pPr>
        <w:pStyle w:val="Puntoelenco"/>
        <w:rPr>
          <w:lang w:val="it-IT"/>
        </w:rPr>
      </w:pPr>
      <w:r w:rsidRPr="00FB172C">
        <w:rPr>
          <w:lang w:val="it-IT"/>
        </w:rPr>
        <w:t xml:space="preserve">ferite asciutte / necrotiche secche che richiedono </w:t>
      </w:r>
      <w:proofErr w:type="spellStart"/>
      <w:r w:rsidRPr="00FB172C">
        <w:rPr>
          <w:lang w:val="it-IT"/>
        </w:rPr>
        <w:t>debridement</w:t>
      </w:r>
      <w:proofErr w:type="spellEnd"/>
      <w:r w:rsidRPr="00FB172C">
        <w:rPr>
          <w:lang w:val="it-IT"/>
        </w:rPr>
        <w:t xml:space="preserve"> umidificante prolungato (preferire idrogel);</w:t>
      </w:r>
    </w:p>
    <w:p w14:paraId="34D5327E" w14:textId="77777777" w:rsidR="00C90E78" w:rsidRPr="00FB172C" w:rsidRDefault="00000000">
      <w:pPr>
        <w:pStyle w:val="Puntoelenco"/>
        <w:rPr>
          <w:lang w:val="it-IT"/>
        </w:rPr>
      </w:pPr>
      <w:r w:rsidRPr="00FB172C">
        <w:rPr>
          <w:lang w:val="it-IT"/>
        </w:rPr>
        <w:t>lesioni con sanguinamento attivo importante che richiedano effetto emostatico immediato (preferire alginati emostatici);</w:t>
      </w:r>
    </w:p>
    <w:p w14:paraId="71FEE35D" w14:textId="77777777" w:rsidR="00C90E78" w:rsidRPr="00FB172C" w:rsidRDefault="00000000">
      <w:pPr>
        <w:pStyle w:val="Puntoelenco"/>
        <w:rPr>
          <w:lang w:val="it-IT"/>
        </w:rPr>
      </w:pPr>
      <w:r w:rsidRPr="00FB172C">
        <w:rPr>
          <w:lang w:val="it-IT"/>
        </w:rPr>
        <w:t xml:space="preserve">lesioni altamente essudanti: il meccanismo di pompaggio capillare di </w:t>
      </w:r>
      <w:proofErr w:type="spellStart"/>
      <w:r w:rsidRPr="00FB172C">
        <w:rPr>
          <w:lang w:val="it-IT"/>
        </w:rPr>
        <w:t>Vacutex</w:t>
      </w:r>
      <w:proofErr w:type="spellEnd"/>
      <w:r w:rsidRPr="00FB172C">
        <w:rPr>
          <w:lang w:val="it-IT"/>
        </w:rPr>
        <w:t xml:space="preserve">® richiede il mantenimento di un gradiente idrico fra l'interfaccia con la ferita e la secondaria </w:t>
      </w:r>
      <w:proofErr w:type="spellStart"/>
      <w:r w:rsidRPr="00FB172C">
        <w:rPr>
          <w:lang w:val="it-IT"/>
        </w:rPr>
        <w:t>superassorbente</w:t>
      </w:r>
      <w:proofErr w:type="spellEnd"/>
      <w:r w:rsidRPr="00FB172C">
        <w:rPr>
          <w:lang w:val="it-IT"/>
        </w:rPr>
        <w:t xml:space="preserve"> esterna. In presenza di volumi di essudato molto elevati la secondaria si satura rapidamente e il gradiente di pompaggio tende ad annullarsi, riducendo l'efficacia del sistema in proporzione alla frequenza con cui viene cambiata la secondaria. In tali scenari, le medicazioni </w:t>
      </w:r>
      <w:proofErr w:type="spellStart"/>
      <w:r w:rsidRPr="00FB172C">
        <w:rPr>
          <w:lang w:val="it-IT"/>
        </w:rPr>
        <w:t>superassorbenti</w:t>
      </w:r>
      <w:proofErr w:type="spellEnd"/>
      <w:r w:rsidRPr="00FB172C">
        <w:rPr>
          <w:lang w:val="it-IT"/>
        </w:rPr>
        <w:t xml:space="preserve"> dedicate o la NPWT con canister di raccolta offrono una gestione operativamente più sostenibile. </w:t>
      </w:r>
      <w:proofErr w:type="spellStart"/>
      <w:r w:rsidRPr="00FB172C">
        <w:rPr>
          <w:lang w:val="it-IT"/>
        </w:rPr>
        <w:t>Vacutex</w:t>
      </w:r>
      <w:proofErr w:type="spellEnd"/>
      <w:r w:rsidRPr="00FB172C">
        <w:rPr>
          <w:lang w:val="it-IT"/>
        </w:rPr>
        <w:t>® resta comunque tecnicamente impiegabile anche in lesioni ad alto essudato — purché si gestisca con frequenza adeguata la secondaria — ed è la prima scelta in lesioni a essudato lieve o moderato;</w:t>
      </w:r>
    </w:p>
    <w:p w14:paraId="5A654D96" w14:textId="77777777" w:rsidR="00C90E78" w:rsidRPr="00FB172C" w:rsidRDefault="00000000">
      <w:pPr>
        <w:pStyle w:val="Puntoelenco"/>
        <w:rPr>
          <w:lang w:val="it-IT"/>
        </w:rPr>
      </w:pPr>
      <w:r w:rsidRPr="00FB172C">
        <w:rPr>
          <w:lang w:val="it-IT"/>
        </w:rPr>
        <w:t>lesioni infette acute che richiedono effetto antimicrobico locale immediato (</w:t>
      </w:r>
      <w:proofErr w:type="spellStart"/>
      <w:r w:rsidRPr="00FB172C">
        <w:rPr>
          <w:lang w:val="it-IT"/>
        </w:rPr>
        <w:t>Vacutex</w:t>
      </w:r>
      <w:proofErr w:type="spellEnd"/>
      <w:r w:rsidRPr="00FB172C">
        <w:rPr>
          <w:lang w:val="it-IT"/>
        </w:rPr>
        <w:t>® può essere associato a medicazioni antimicrobiche dopo controllo dell'infezione, oppure utilizzato come medicazione di mantenimento dopo trattamento iniziale).</w:t>
      </w:r>
    </w:p>
    <w:p w14:paraId="7B5E556C" w14:textId="77777777" w:rsidR="00C90E78" w:rsidRPr="00FB172C" w:rsidRDefault="00000000">
      <w:pPr>
        <w:rPr>
          <w:lang w:val="it-IT"/>
        </w:rPr>
      </w:pPr>
      <w:r w:rsidRPr="00FB172C">
        <w:rPr>
          <w:lang w:val="it-IT"/>
        </w:rPr>
        <w:br w:type="page"/>
      </w:r>
    </w:p>
    <w:p w14:paraId="6CFFF995" w14:textId="77777777" w:rsidR="00C90E78" w:rsidRPr="00FB172C" w:rsidRDefault="00000000">
      <w:pPr>
        <w:pStyle w:val="Titolo1"/>
        <w:rPr>
          <w:lang w:val="it-IT"/>
        </w:rPr>
      </w:pPr>
      <w:r w:rsidRPr="00FB172C">
        <w:rPr>
          <w:lang w:val="it-IT"/>
        </w:rPr>
        <w:lastRenderedPageBreak/>
        <w:t>8. Inquadramento normativo e di gara</w:t>
      </w:r>
    </w:p>
    <w:p w14:paraId="3316B1F4" w14:textId="77777777" w:rsidR="00C90E78" w:rsidRPr="00FB172C" w:rsidRDefault="00000000">
      <w:pPr>
        <w:pStyle w:val="Titolo2"/>
        <w:rPr>
          <w:lang w:val="it-IT"/>
        </w:rPr>
      </w:pPr>
      <w:r w:rsidRPr="00FB172C">
        <w:rPr>
          <w:lang w:val="it-IT"/>
        </w:rPr>
        <w:t>8.1 Classificazione CND e precedente di categorizzazione autonoma in ambito UE</w:t>
      </w:r>
    </w:p>
    <w:p w14:paraId="08B5BBFB" w14:textId="77777777" w:rsidR="00C90E78" w:rsidRPr="00FB172C" w:rsidRDefault="00000000">
      <w:pPr>
        <w:rPr>
          <w:lang w:val="it-IT"/>
        </w:rPr>
      </w:pPr>
      <w:proofErr w:type="spellStart"/>
      <w:r w:rsidRPr="00FB172C">
        <w:rPr>
          <w:lang w:val="it-IT"/>
        </w:rPr>
        <w:t>Vacutex</w:t>
      </w:r>
      <w:proofErr w:type="spellEnd"/>
      <w:r w:rsidRPr="00FB172C">
        <w:rPr>
          <w:lang w:val="it-IT"/>
        </w:rPr>
        <w:t>® è classificato nella Classificazione Nazionale dei Dispositivi (CND) all'interno del gruppo M – Dispositivi per medicazioni generali e specialistiche, sottogruppo delle medicazioni avanzate.</w:t>
      </w:r>
    </w:p>
    <w:p w14:paraId="3EF93399" w14:textId="77777777" w:rsidR="00C90E78" w:rsidRPr="00FB172C" w:rsidRDefault="00000000">
      <w:pPr>
        <w:rPr>
          <w:lang w:val="it-IT"/>
        </w:rPr>
      </w:pPr>
      <w:r w:rsidRPr="00FB172C">
        <w:rPr>
          <w:lang w:val="it-IT"/>
        </w:rPr>
        <w:t xml:space="preserve">Sul piano della prassi di gara in ambito UE si segnala il seguente precedente: la </w:t>
      </w:r>
      <w:proofErr w:type="spellStart"/>
      <w:r w:rsidRPr="00FB172C">
        <w:rPr>
          <w:lang w:val="it-IT"/>
        </w:rPr>
        <w:t>Unidade</w:t>
      </w:r>
      <w:proofErr w:type="spellEnd"/>
      <w:r w:rsidRPr="00FB172C">
        <w:rPr>
          <w:lang w:val="it-IT"/>
        </w:rPr>
        <w:t xml:space="preserve"> Local de </w:t>
      </w:r>
      <w:proofErr w:type="spellStart"/>
      <w:r w:rsidRPr="00FB172C">
        <w:rPr>
          <w:lang w:val="it-IT"/>
        </w:rPr>
        <w:t>Saúde</w:t>
      </w:r>
      <w:proofErr w:type="spellEnd"/>
      <w:r w:rsidRPr="00FB172C">
        <w:rPr>
          <w:lang w:val="it-IT"/>
        </w:rPr>
        <w:t xml:space="preserve"> </w:t>
      </w:r>
      <w:proofErr w:type="spellStart"/>
      <w:r w:rsidRPr="00FB172C">
        <w:rPr>
          <w:lang w:val="it-IT"/>
        </w:rPr>
        <w:t>Entre</w:t>
      </w:r>
      <w:proofErr w:type="spellEnd"/>
      <w:r w:rsidRPr="00FB172C">
        <w:rPr>
          <w:lang w:val="it-IT"/>
        </w:rPr>
        <w:t xml:space="preserve"> Douro e </w:t>
      </w:r>
      <w:proofErr w:type="spellStart"/>
      <w:r w:rsidRPr="00FB172C">
        <w:rPr>
          <w:lang w:val="it-IT"/>
        </w:rPr>
        <w:t>Vouga</w:t>
      </w:r>
      <w:proofErr w:type="spellEnd"/>
      <w:r w:rsidRPr="00FB172C">
        <w:rPr>
          <w:lang w:val="it-IT"/>
        </w:rPr>
        <w:t>, E.P.E. (Portogallo) ha bandito nel 2025 la procedura di affidamento n. 11/04038.11/2025 esplicitamente denominata "</w:t>
      </w:r>
      <w:proofErr w:type="spellStart"/>
      <w:r w:rsidRPr="00FB172C">
        <w:rPr>
          <w:lang w:val="it-IT"/>
        </w:rPr>
        <w:t>Aquisição</w:t>
      </w:r>
      <w:proofErr w:type="spellEnd"/>
      <w:r w:rsidRPr="00FB172C">
        <w:rPr>
          <w:lang w:val="it-IT"/>
        </w:rPr>
        <w:t xml:space="preserve"> de penso </w:t>
      </w:r>
      <w:proofErr w:type="spellStart"/>
      <w:r w:rsidRPr="00FB172C">
        <w:rPr>
          <w:lang w:val="it-IT"/>
        </w:rPr>
        <w:t>capilar</w:t>
      </w:r>
      <w:proofErr w:type="spellEnd"/>
      <w:r w:rsidRPr="00FB172C">
        <w:rPr>
          <w:lang w:val="it-IT"/>
        </w:rPr>
        <w:t xml:space="preserve"> de </w:t>
      </w:r>
      <w:proofErr w:type="spellStart"/>
      <w:r w:rsidRPr="00FB172C">
        <w:rPr>
          <w:lang w:val="it-IT"/>
        </w:rPr>
        <w:t>pressão</w:t>
      </w:r>
      <w:proofErr w:type="spellEnd"/>
      <w:r w:rsidRPr="00FB172C">
        <w:rPr>
          <w:lang w:val="it-IT"/>
        </w:rPr>
        <w:t xml:space="preserve"> negativa (68 mmHg)" — letteralmente "Acquisizione di medicazione capillare a pressione negativa (68 mmHg)". Il bando ha utilizzato il codice CPV 33600000-6 e ha trattato la medicazione capillare a pressione negativa come categoria merceologica autonoma rispetto sia alla NPWT sia alle medicazioni avanzate ad assorbimento passivo.</w:t>
      </w:r>
    </w:p>
    <w:p w14:paraId="793D3CE2" w14:textId="77777777" w:rsidR="00C90E78" w:rsidRPr="00FB172C" w:rsidRDefault="00000000">
      <w:pPr>
        <w:rPr>
          <w:lang w:val="it-IT"/>
        </w:rPr>
      </w:pPr>
      <w:r w:rsidRPr="00FB172C">
        <w:rPr>
          <w:lang w:val="it-IT"/>
        </w:rPr>
        <w:t>Il precedente portoghese, indipendentemente dai valori economici (relativi a un fabbisogno locale e a un procedimento di affidamento diretto), assume rilievo come dimostrazione della maturità della categoria merceologica "medicazione capillare a pressione negativa" nell'ambito dei sistemi sanitari pubblici dell'Unione Europea. La stessa impostazione di categorizzazione autonoma può legittimamente essere adottata anche dalle stazioni appaltanti italiane in sede di redazione del capitolato tecnico.</w:t>
      </w:r>
    </w:p>
    <w:p w14:paraId="3D55B52B" w14:textId="77777777" w:rsidR="00C90E78" w:rsidRPr="00FB172C" w:rsidRDefault="00000000">
      <w:pPr>
        <w:rPr>
          <w:lang w:val="it-IT"/>
        </w:rPr>
      </w:pPr>
      <w:r w:rsidRPr="00FB172C">
        <w:rPr>
          <w:lang w:val="it-IT"/>
        </w:rPr>
        <w:t xml:space="preserve">Si segnala inoltre che il dispositivo </w:t>
      </w:r>
      <w:proofErr w:type="spellStart"/>
      <w:r w:rsidRPr="00FB172C">
        <w:rPr>
          <w:lang w:val="it-IT"/>
        </w:rPr>
        <w:t>Vacutex</w:t>
      </w:r>
      <w:proofErr w:type="spellEnd"/>
      <w:r w:rsidRPr="00FB172C">
        <w:rPr>
          <w:lang w:val="it-IT"/>
        </w:rPr>
        <w:t>® è formalmente riconosciuto e rimborsato dal Sistema Sanitario olandese (Janssen 2017, Jaspar 2017), all'esito di studi di osservazione che ne hanno dimostrato il valore aggiunto rispetto sia alla NPWT sia alle medicazioni avanzate tradizionali.</w:t>
      </w:r>
    </w:p>
    <w:p w14:paraId="1C141142" w14:textId="77777777" w:rsidR="00C90E78" w:rsidRPr="00FB172C" w:rsidRDefault="00000000">
      <w:pPr>
        <w:pStyle w:val="Titolo2"/>
        <w:rPr>
          <w:lang w:val="it-IT"/>
        </w:rPr>
      </w:pPr>
      <w:r w:rsidRPr="00FB172C">
        <w:rPr>
          <w:lang w:val="it-IT"/>
        </w:rPr>
        <w:t>8.2 Modalità di formulazione della procedura di gara</w:t>
      </w:r>
    </w:p>
    <w:p w14:paraId="48E6D443" w14:textId="77777777" w:rsidR="00C90E78" w:rsidRPr="00FB172C" w:rsidRDefault="00000000">
      <w:pPr>
        <w:rPr>
          <w:lang w:val="it-IT"/>
        </w:rPr>
      </w:pPr>
      <w:r w:rsidRPr="00FB172C">
        <w:rPr>
          <w:lang w:val="it-IT"/>
        </w:rPr>
        <w:t xml:space="preserve">Senza pregiudizio dell'autonomia decisionale della stazione appaltante, si segnalano le seguenti modalità di acquisizione astrattamente compatibili con il </w:t>
      </w:r>
      <w:proofErr w:type="spellStart"/>
      <w:r w:rsidRPr="00FB172C">
        <w:rPr>
          <w:lang w:val="it-IT"/>
        </w:rPr>
        <w:t>D.Lgs.</w:t>
      </w:r>
      <w:proofErr w:type="spellEnd"/>
      <w:r w:rsidRPr="00FB172C">
        <w:rPr>
          <w:lang w:val="it-IT"/>
        </w:rPr>
        <w:t xml:space="preserve"> n. 36/2023:</w:t>
      </w:r>
    </w:p>
    <w:p w14:paraId="5A69EC86" w14:textId="77777777" w:rsidR="00C90E78" w:rsidRPr="00FB172C" w:rsidRDefault="00000000">
      <w:pPr>
        <w:pStyle w:val="Puntoelenco"/>
        <w:rPr>
          <w:lang w:val="it-IT"/>
        </w:rPr>
      </w:pPr>
      <w:r w:rsidRPr="00FB172C">
        <w:rPr>
          <w:lang w:val="it-IT"/>
        </w:rPr>
        <w:t xml:space="preserve">inserimento in lotto autonomo all'interno di gare </w:t>
      </w:r>
      <w:proofErr w:type="spellStart"/>
      <w:r w:rsidRPr="00FB172C">
        <w:rPr>
          <w:lang w:val="it-IT"/>
        </w:rPr>
        <w:t>multilotto</w:t>
      </w:r>
      <w:proofErr w:type="spellEnd"/>
      <w:r w:rsidRPr="00FB172C">
        <w:rPr>
          <w:lang w:val="it-IT"/>
        </w:rPr>
        <w:t xml:space="preserve"> di medicazioni avanzate, con descrizione tecnica che evidenzi le caratteristiche distintive (azione capillare attiva, pressione misurata, struttura a 3 strati, </w:t>
      </w:r>
      <w:proofErr w:type="spellStart"/>
      <w:r w:rsidRPr="00FB172C">
        <w:rPr>
          <w:lang w:val="it-IT"/>
        </w:rPr>
        <w:t>monoreferenza</w:t>
      </w:r>
      <w:proofErr w:type="spellEnd"/>
      <w:r w:rsidRPr="00FB172C">
        <w:rPr>
          <w:lang w:val="it-IT"/>
        </w:rPr>
        <w:t xml:space="preserve"> senza secondaria);</w:t>
      </w:r>
    </w:p>
    <w:p w14:paraId="2CA3B6E2" w14:textId="77777777" w:rsidR="00C90E78" w:rsidRPr="00FB172C" w:rsidRDefault="00000000">
      <w:pPr>
        <w:pStyle w:val="Puntoelenco"/>
        <w:rPr>
          <w:lang w:val="it-IT"/>
        </w:rPr>
      </w:pPr>
      <w:r w:rsidRPr="00FB172C">
        <w:rPr>
          <w:lang w:val="it-IT"/>
        </w:rPr>
        <w:t>aggiudicazione con criterio dell'offerta economicamente più vantaggiosa (OEPV) ex art. 108, con peso significativo agli aspetti qualitativi;</w:t>
      </w:r>
    </w:p>
    <w:p w14:paraId="1FABCCA7" w14:textId="77777777" w:rsidR="00C90E78" w:rsidRPr="00FB172C" w:rsidRDefault="00000000">
      <w:pPr>
        <w:pStyle w:val="Puntoelenco"/>
        <w:rPr>
          <w:lang w:val="it-IT"/>
        </w:rPr>
      </w:pPr>
      <w:r w:rsidRPr="00FB172C">
        <w:rPr>
          <w:lang w:val="it-IT"/>
        </w:rPr>
        <w:t>in alternativa, procedura negoziata senza previa pubblicazione di bando ex art. 76, comma 2, lett. b) (unicità tecnica) qualora la stazione appaltante accerti, mediante indagine di mercato, l'assenza di prodotti equivalenti con le medesime caratteristiche distintive.</w:t>
      </w:r>
    </w:p>
    <w:p w14:paraId="1CD6E043" w14:textId="77777777" w:rsidR="00C90E78" w:rsidRPr="00FB172C" w:rsidRDefault="00000000">
      <w:pPr>
        <w:pStyle w:val="Titolo2"/>
        <w:rPr>
          <w:lang w:val="it-IT"/>
        </w:rPr>
      </w:pPr>
      <w:r w:rsidRPr="00FB172C">
        <w:rPr>
          <w:lang w:val="it-IT"/>
        </w:rPr>
        <w:t>8.3 Caratteristiche tecniche distintive del dispositivo</w:t>
      </w:r>
    </w:p>
    <w:p w14:paraId="7A6629A7" w14:textId="77777777" w:rsidR="00C90E78" w:rsidRPr="00FB172C" w:rsidRDefault="00000000">
      <w:pPr>
        <w:rPr>
          <w:lang w:val="it-IT"/>
        </w:rPr>
      </w:pPr>
      <w:r w:rsidRPr="00FB172C">
        <w:rPr>
          <w:lang w:val="it-IT"/>
        </w:rPr>
        <w:t>A meri fini informativi e di trasparenza, si elencano di seguito le caratteristiche tecniche distintive del dispositivo, documentate in letteratura e nella scheda tecnica del fabbricante, che la stazione appaltante — nell'esercizio della propria autonomia — potrà valutare nella definizione del capitolato tecnico:</w:t>
      </w:r>
    </w:p>
    <w:p w14:paraId="3C58D82A" w14:textId="77777777" w:rsidR="00C90E78" w:rsidRPr="00FB172C" w:rsidRDefault="00000000">
      <w:pPr>
        <w:pStyle w:val="Puntoelenco"/>
        <w:rPr>
          <w:lang w:val="it-IT"/>
        </w:rPr>
      </w:pPr>
      <w:r w:rsidRPr="00FB172C">
        <w:rPr>
          <w:lang w:val="it-IT"/>
        </w:rPr>
        <w:t>meccanismo d'azione (azione capillare attiva con pressione sub-atmosferica misurata, in alternativa al solo assorbimento passivo);</w:t>
      </w:r>
    </w:p>
    <w:p w14:paraId="37699DB2" w14:textId="77777777" w:rsidR="00C90E78" w:rsidRPr="00FB172C" w:rsidRDefault="00000000">
      <w:pPr>
        <w:pStyle w:val="Puntoelenco"/>
        <w:rPr>
          <w:lang w:val="it-IT"/>
        </w:rPr>
      </w:pPr>
      <w:r w:rsidRPr="00FB172C">
        <w:rPr>
          <w:lang w:val="it-IT"/>
        </w:rPr>
        <w:t>valore di pressione negativa misurata in test di laboratorio (–68 mmHg, Breitwieser 2020);</w:t>
      </w:r>
    </w:p>
    <w:p w14:paraId="69D398B8" w14:textId="77777777" w:rsidR="00C90E78" w:rsidRPr="00FB172C" w:rsidRDefault="00000000">
      <w:pPr>
        <w:pStyle w:val="Puntoelenco"/>
        <w:rPr>
          <w:lang w:val="it-IT"/>
        </w:rPr>
      </w:pPr>
      <w:r w:rsidRPr="00FB172C">
        <w:rPr>
          <w:lang w:val="it-IT"/>
        </w:rPr>
        <w:t>direzione di trasporto dell'essudato (unidirezionale verticale documentata);</w:t>
      </w:r>
    </w:p>
    <w:p w14:paraId="7596A9A0" w14:textId="77777777" w:rsidR="00C90E78" w:rsidRPr="00FB172C" w:rsidRDefault="00000000">
      <w:pPr>
        <w:pStyle w:val="Puntoelenco"/>
        <w:rPr>
          <w:lang w:val="it-IT"/>
        </w:rPr>
      </w:pPr>
      <w:r w:rsidRPr="00FB172C">
        <w:rPr>
          <w:lang w:val="it-IT"/>
        </w:rPr>
        <w:lastRenderedPageBreak/>
        <w:t>non necessità di medicazione secondaria;</w:t>
      </w:r>
    </w:p>
    <w:p w14:paraId="2FF656B6" w14:textId="77777777" w:rsidR="00C90E78" w:rsidRPr="00FB172C" w:rsidRDefault="00000000">
      <w:pPr>
        <w:pStyle w:val="Puntoelenco"/>
        <w:rPr>
          <w:lang w:val="it-IT"/>
        </w:rPr>
      </w:pPr>
      <w:r w:rsidRPr="00FB172C">
        <w:rPr>
          <w:lang w:val="it-IT"/>
        </w:rPr>
        <w:t>frequenza media di cambio in lesioni essudanti (giorni);</w:t>
      </w:r>
    </w:p>
    <w:p w14:paraId="18695A10" w14:textId="77777777" w:rsidR="00C90E78" w:rsidRPr="00FB172C" w:rsidRDefault="00000000">
      <w:pPr>
        <w:pStyle w:val="Puntoelenco"/>
        <w:rPr>
          <w:lang w:val="it-IT"/>
        </w:rPr>
      </w:pPr>
      <w:r w:rsidRPr="00FB172C">
        <w:rPr>
          <w:lang w:val="it-IT"/>
        </w:rPr>
        <w:t xml:space="preserve">rispetto della cute </w:t>
      </w:r>
      <w:proofErr w:type="spellStart"/>
      <w:r w:rsidRPr="00FB172C">
        <w:rPr>
          <w:lang w:val="it-IT"/>
        </w:rPr>
        <w:t>perilesionale</w:t>
      </w:r>
      <w:proofErr w:type="spellEnd"/>
      <w:r w:rsidRPr="00FB172C">
        <w:rPr>
          <w:lang w:val="it-IT"/>
        </w:rPr>
        <w:t xml:space="preserve"> (assenza di adesivi continui, rischio MARSI);</w:t>
      </w:r>
    </w:p>
    <w:p w14:paraId="1CB0D867" w14:textId="77777777" w:rsidR="00C90E78" w:rsidRPr="00FB172C" w:rsidRDefault="00000000">
      <w:pPr>
        <w:pStyle w:val="Puntoelenco"/>
        <w:rPr>
          <w:lang w:val="it-IT"/>
        </w:rPr>
      </w:pPr>
      <w:r w:rsidRPr="00FB172C">
        <w:rPr>
          <w:lang w:val="it-IT"/>
        </w:rPr>
        <w:t>disponibilità di studi clinici pubblicati su riviste peer-</w:t>
      </w:r>
      <w:proofErr w:type="spellStart"/>
      <w:r w:rsidRPr="00FB172C">
        <w:rPr>
          <w:lang w:val="it-IT"/>
        </w:rPr>
        <w:t>reviewed</w:t>
      </w:r>
      <w:proofErr w:type="spellEnd"/>
      <w:r w:rsidRPr="00FB172C">
        <w:rPr>
          <w:lang w:val="it-IT"/>
        </w:rPr>
        <w:t>;</w:t>
      </w:r>
    </w:p>
    <w:p w14:paraId="476AB0EC" w14:textId="77777777" w:rsidR="00C90E78" w:rsidRDefault="00000000">
      <w:pPr>
        <w:pStyle w:val="Puntoelenco"/>
      </w:pPr>
      <w:proofErr w:type="spellStart"/>
      <w:r>
        <w:t>compatibilità</w:t>
      </w:r>
      <w:proofErr w:type="spellEnd"/>
      <w:r>
        <w:t xml:space="preserve"> con </w:t>
      </w:r>
      <w:proofErr w:type="spellStart"/>
      <w:r>
        <w:t>terapia</w:t>
      </w:r>
      <w:proofErr w:type="spellEnd"/>
      <w:r>
        <w:t xml:space="preserve"> </w:t>
      </w:r>
      <w:proofErr w:type="spellStart"/>
      <w:r>
        <w:t>compressiva</w:t>
      </w:r>
      <w:proofErr w:type="spellEnd"/>
      <w:r>
        <w:t>;</w:t>
      </w:r>
    </w:p>
    <w:p w14:paraId="63122ED7" w14:textId="77777777" w:rsidR="00C90E78" w:rsidRPr="00FB172C" w:rsidRDefault="00000000">
      <w:pPr>
        <w:pStyle w:val="Puntoelenco"/>
        <w:rPr>
          <w:lang w:val="it-IT"/>
        </w:rPr>
      </w:pPr>
      <w:r w:rsidRPr="00FB172C">
        <w:rPr>
          <w:lang w:val="it-IT"/>
        </w:rPr>
        <w:t xml:space="preserve">formati disponibili, incluso il formato a cordone 1 × 40 cm per lesioni </w:t>
      </w:r>
      <w:proofErr w:type="spellStart"/>
      <w:r w:rsidRPr="00FB172C">
        <w:rPr>
          <w:lang w:val="it-IT"/>
        </w:rPr>
        <w:t>tunnelizzate</w:t>
      </w:r>
      <w:proofErr w:type="spellEnd"/>
      <w:r w:rsidRPr="00FB172C">
        <w:rPr>
          <w:lang w:val="it-IT"/>
        </w:rPr>
        <w:t>;</w:t>
      </w:r>
    </w:p>
    <w:p w14:paraId="4B9BD787" w14:textId="77777777" w:rsidR="00C90E78" w:rsidRPr="00FB172C" w:rsidRDefault="00000000">
      <w:pPr>
        <w:pStyle w:val="Puntoelenco"/>
        <w:rPr>
          <w:lang w:val="it-IT"/>
        </w:rPr>
      </w:pPr>
      <w:r w:rsidRPr="00FB172C">
        <w:rPr>
          <w:lang w:val="it-IT"/>
        </w:rPr>
        <w:t>certificazione MDR 2017/745 e marcatura CE.</w:t>
      </w:r>
    </w:p>
    <w:p w14:paraId="34A845B0" w14:textId="77777777" w:rsidR="00C90E78" w:rsidRPr="00FB172C" w:rsidRDefault="00000000">
      <w:pPr>
        <w:rPr>
          <w:lang w:val="it-IT"/>
        </w:rPr>
      </w:pPr>
      <w:r w:rsidRPr="00FB172C">
        <w:rPr>
          <w:i/>
          <w:lang w:val="it-IT"/>
        </w:rPr>
        <w:t>Quanto sopra costituisce mera descrizione delle caratteristiche del dispositivo, fornita per agevolare la stazione appaltante nell'attività istruttoria, senza alcuna pretesa di indicare i criteri di valutazione che la stessa intenderà adottare.</w:t>
      </w:r>
    </w:p>
    <w:p w14:paraId="36863D24" w14:textId="77777777" w:rsidR="00C90E78" w:rsidRPr="00FB172C" w:rsidRDefault="00000000">
      <w:pPr>
        <w:rPr>
          <w:lang w:val="it-IT"/>
        </w:rPr>
      </w:pPr>
      <w:r w:rsidRPr="00FB172C">
        <w:rPr>
          <w:lang w:val="it-IT"/>
        </w:rPr>
        <w:br w:type="page"/>
      </w:r>
    </w:p>
    <w:p w14:paraId="56E45D80" w14:textId="77777777" w:rsidR="00C90E78" w:rsidRPr="00FB172C" w:rsidRDefault="00000000">
      <w:pPr>
        <w:pStyle w:val="Titolo1"/>
        <w:rPr>
          <w:lang w:val="it-IT"/>
        </w:rPr>
      </w:pPr>
      <w:r w:rsidRPr="00FB172C">
        <w:rPr>
          <w:lang w:val="it-IT"/>
        </w:rPr>
        <w:lastRenderedPageBreak/>
        <w:t>9. Riferimenti di letteratura clinica selezionati</w:t>
      </w:r>
    </w:p>
    <w:p w14:paraId="11E3E606" w14:textId="77777777" w:rsidR="00C90E78" w:rsidRPr="00FB172C" w:rsidRDefault="00000000">
      <w:pPr>
        <w:rPr>
          <w:lang w:val="it-IT"/>
        </w:rPr>
      </w:pPr>
      <w:r w:rsidRPr="00FB172C">
        <w:rPr>
          <w:lang w:val="it-IT"/>
        </w:rPr>
        <w:t xml:space="preserve">Si riportano di seguito i principali riferimenti di letteratura clinica internazionale su </w:t>
      </w:r>
      <w:proofErr w:type="spellStart"/>
      <w:r w:rsidRPr="00FB172C">
        <w:rPr>
          <w:lang w:val="it-IT"/>
        </w:rPr>
        <w:t>Vacutex</w:t>
      </w:r>
      <w:proofErr w:type="spellEnd"/>
      <w:r w:rsidRPr="00FB172C">
        <w:rPr>
          <w:lang w:val="it-IT"/>
        </w:rPr>
        <w:t>® rilevanti ai fini del confronto con le medicazioni avanzate tradizionali. La selezione è tratta dall'</w:t>
      </w:r>
      <w:proofErr w:type="spellStart"/>
      <w:r w:rsidRPr="00FB172C">
        <w:rPr>
          <w:lang w:val="it-IT"/>
        </w:rPr>
        <w:t>overview</w:t>
      </w:r>
      <w:proofErr w:type="spellEnd"/>
      <w:r w:rsidRPr="00FB172C">
        <w:rPr>
          <w:lang w:val="it-IT"/>
        </w:rPr>
        <w:t xml:space="preserve"> delle pubblicazioni cliniche del fabbricante </w:t>
      </w:r>
      <w:proofErr w:type="spellStart"/>
      <w:r w:rsidRPr="00FB172C">
        <w:rPr>
          <w:lang w:val="it-IT"/>
        </w:rPr>
        <w:t>Protex</w:t>
      </w:r>
      <w:proofErr w:type="spellEnd"/>
      <w:r w:rsidRPr="00FB172C">
        <w:rPr>
          <w:lang w:val="it-IT"/>
        </w:rPr>
        <w:t xml:space="preserve"> Healthcare UK Ltd. (aggiornamento 2025).</w:t>
      </w:r>
    </w:p>
    <w:p w14:paraId="6EFC2495" w14:textId="77777777" w:rsidR="00C90E78" w:rsidRPr="00FB172C" w:rsidRDefault="00000000">
      <w:pPr>
        <w:pStyle w:val="Titolo2"/>
        <w:rPr>
          <w:lang w:val="it-IT"/>
        </w:rPr>
      </w:pPr>
      <w:r w:rsidRPr="00FB172C">
        <w:rPr>
          <w:lang w:val="it-IT"/>
        </w:rPr>
        <w:t>9.1 Validazione delle proprietà fisiche</w:t>
      </w:r>
    </w:p>
    <w:p w14:paraId="5A144F01" w14:textId="77777777" w:rsidR="00C90E78" w:rsidRPr="00FB172C" w:rsidRDefault="00000000">
      <w:pPr>
        <w:rPr>
          <w:lang w:val="it-IT"/>
        </w:rPr>
      </w:pPr>
      <w:r w:rsidRPr="00FB172C">
        <w:rPr>
          <w:b/>
          <w:lang w:val="it-IT"/>
        </w:rPr>
        <w:t xml:space="preserve">Breitwieser M., </w:t>
      </w:r>
      <w:proofErr w:type="spellStart"/>
      <w:r w:rsidRPr="00FB172C">
        <w:rPr>
          <w:b/>
          <w:lang w:val="it-IT"/>
        </w:rPr>
        <w:t>Imeter</w:t>
      </w:r>
      <w:proofErr w:type="spellEnd"/>
      <w:r w:rsidRPr="00FB172C">
        <w:rPr>
          <w:b/>
          <w:lang w:val="it-IT"/>
        </w:rPr>
        <w:t xml:space="preserve"> </w:t>
      </w:r>
      <w:proofErr w:type="spellStart"/>
      <w:r w:rsidRPr="00FB172C">
        <w:rPr>
          <w:b/>
          <w:lang w:val="it-IT"/>
        </w:rPr>
        <w:t>Laboratory</w:t>
      </w:r>
      <w:proofErr w:type="spellEnd"/>
      <w:r w:rsidRPr="00FB172C">
        <w:rPr>
          <w:b/>
          <w:lang w:val="it-IT"/>
        </w:rPr>
        <w:t>, Germania, 2020.</w:t>
      </w:r>
    </w:p>
    <w:p w14:paraId="5827C256" w14:textId="77777777" w:rsidR="00C90E78" w:rsidRPr="00FB172C" w:rsidRDefault="00000000">
      <w:pPr>
        <w:rPr>
          <w:lang w:val="it-IT"/>
        </w:rPr>
      </w:pPr>
      <w:r w:rsidRPr="00FB172C">
        <w:rPr>
          <w:i/>
          <w:lang w:val="it-IT"/>
        </w:rPr>
        <w:t xml:space="preserve">Test di laboratorio indipendente sulla pressione negativa generata da </w:t>
      </w:r>
      <w:proofErr w:type="spellStart"/>
      <w:r w:rsidRPr="00FB172C">
        <w:rPr>
          <w:i/>
          <w:lang w:val="it-IT"/>
        </w:rPr>
        <w:t>Vacutex</w:t>
      </w:r>
      <w:proofErr w:type="spellEnd"/>
      <w:r w:rsidRPr="00FB172C">
        <w:rPr>
          <w:i/>
          <w:lang w:val="it-IT"/>
        </w:rPr>
        <w:t>®.</w:t>
      </w:r>
    </w:p>
    <w:p w14:paraId="08574971" w14:textId="77777777" w:rsidR="00C90E78" w:rsidRPr="00FB172C" w:rsidRDefault="00000000">
      <w:pPr>
        <w:rPr>
          <w:lang w:val="it-IT"/>
        </w:rPr>
      </w:pPr>
      <w:r w:rsidRPr="00FB172C">
        <w:rPr>
          <w:lang w:val="it-IT"/>
        </w:rPr>
        <w:t xml:space="preserve">Risultato: "One </w:t>
      </w:r>
      <w:proofErr w:type="spellStart"/>
      <w:r w:rsidRPr="00FB172C">
        <w:rPr>
          <w:lang w:val="it-IT"/>
        </w:rPr>
        <w:t>layer</w:t>
      </w:r>
      <w:proofErr w:type="spellEnd"/>
      <w:r w:rsidRPr="00FB172C">
        <w:rPr>
          <w:lang w:val="it-IT"/>
        </w:rPr>
        <w:t xml:space="preserve"> of </w:t>
      </w:r>
      <w:proofErr w:type="spellStart"/>
      <w:r w:rsidRPr="00FB172C">
        <w:rPr>
          <w:lang w:val="it-IT"/>
        </w:rPr>
        <w:t>Vacutex</w:t>
      </w:r>
      <w:proofErr w:type="spellEnd"/>
      <w:r w:rsidRPr="00FB172C">
        <w:rPr>
          <w:lang w:val="it-IT"/>
        </w:rPr>
        <w:t xml:space="preserve"> </w:t>
      </w:r>
      <w:proofErr w:type="spellStart"/>
      <w:r w:rsidRPr="00FB172C">
        <w:rPr>
          <w:lang w:val="it-IT"/>
        </w:rPr>
        <w:t>generates</w:t>
      </w:r>
      <w:proofErr w:type="spellEnd"/>
      <w:r w:rsidRPr="00FB172C">
        <w:rPr>
          <w:lang w:val="it-IT"/>
        </w:rPr>
        <w:t xml:space="preserve"> 68 mmHg" — la misurazione strumentale conferma che un singolo strato della medicazione genera per azione capillare una pressione sub-atmosferica di –68 mmHg, valore stabile e riproducibile. Questo dato dimostra oggettivamente la differenza meccanicistica fra </w:t>
      </w:r>
      <w:proofErr w:type="spellStart"/>
      <w:r w:rsidRPr="00FB172C">
        <w:rPr>
          <w:lang w:val="it-IT"/>
        </w:rPr>
        <w:t>Vacutex</w:t>
      </w:r>
      <w:proofErr w:type="spellEnd"/>
      <w:r w:rsidRPr="00FB172C">
        <w:rPr>
          <w:lang w:val="it-IT"/>
        </w:rPr>
        <w:t>® e le medicazioni avanzate ad assorbimento passivo, che non generano alcuna pressione sub-atmosferica.</w:t>
      </w:r>
    </w:p>
    <w:p w14:paraId="17A9329E" w14:textId="77777777" w:rsidR="00C90E78" w:rsidRPr="00FB172C" w:rsidRDefault="00000000">
      <w:pPr>
        <w:pStyle w:val="Titolo2"/>
        <w:rPr>
          <w:lang w:val="it-IT"/>
        </w:rPr>
      </w:pPr>
      <w:r w:rsidRPr="00FB172C">
        <w:rPr>
          <w:lang w:val="it-IT"/>
        </w:rPr>
        <w:t>9.2 Studi controllati e ampie casistiche</w:t>
      </w:r>
    </w:p>
    <w:p w14:paraId="5107A493" w14:textId="77777777" w:rsidR="00C90E78" w:rsidRPr="00FB172C" w:rsidRDefault="00000000">
      <w:pPr>
        <w:rPr>
          <w:lang w:val="it-IT"/>
        </w:rPr>
      </w:pPr>
      <w:r w:rsidRPr="00FB172C">
        <w:rPr>
          <w:b/>
          <w:lang w:val="it-IT"/>
        </w:rPr>
        <w:t xml:space="preserve">Russel L., Queens Hospital, Burton on Trent, UK, 2001. </w:t>
      </w:r>
      <w:proofErr w:type="spellStart"/>
      <w:r w:rsidRPr="00FB172C">
        <w:rPr>
          <w:b/>
          <w:lang w:val="it-IT"/>
        </w:rPr>
        <w:t>Randomized</w:t>
      </w:r>
      <w:proofErr w:type="spellEnd"/>
      <w:r w:rsidRPr="00FB172C">
        <w:rPr>
          <w:b/>
          <w:lang w:val="it-IT"/>
        </w:rPr>
        <w:t xml:space="preserve"> </w:t>
      </w:r>
      <w:proofErr w:type="spellStart"/>
      <w:r w:rsidRPr="00FB172C">
        <w:rPr>
          <w:b/>
          <w:lang w:val="it-IT"/>
        </w:rPr>
        <w:t>Controlled</w:t>
      </w:r>
      <w:proofErr w:type="spellEnd"/>
      <w:r w:rsidRPr="00FB172C">
        <w:rPr>
          <w:b/>
          <w:lang w:val="it-IT"/>
        </w:rPr>
        <w:t xml:space="preserve"> Trial, 35 pazienti.</w:t>
      </w:r>
    </w:p>
    <w:p w14:paraId="2D4178B1" w14:textId="77777777" w:rsidR="00C90E78" w:rsidRPr="00FB172C" w:rsidRDefault="00000000">
      <w:pPr>
        <w:rPr>
          <w:lang w:val="it-IT"/>
        </w:rPr>
      </w:pPr>
      <w:r w:rsidRPr="00FB172C">
        <w:rPr>
          <w:i/>
          <w:lang w:val="it-IT"/>
        </w:rPr>
        <w:t xml:space="preserve">Confronto fra </w:t>
      </w:r>
      <w:proofErr w:type="spellStart"/>
      <w:r w:rsidRPr="00FB172C">
        <w:rPr>
          <w:i/>
          <w:lang w:val="it-IT"/>
        </w:rPr>
        <w:t>Vacutex</w:t>
      </w:r>
      <w:proofErr w:type="spellEnd"/>
      <w:r w:rsidRPr="00FB172C">
        <w:rPr>
          <w:i/>
          <w:lang w:val="it-IT"/>
        </w:rPr>
        <w:t>® e medicazioni standard nel trattamento di ferite hard-to-</w:t>
      </w:r>
      <w:proofErr w:type="spellStart"/>
      <w:r w:rsidRPr="00FB172C">
        <w:rPr>
          <w:i/>
          <w:lang w:val="it-IT"/>
        </w:rPr>
        <w:t>heal</w:t>
      </w:r>
      <w:proofErr w:type="spellEnd"/>
      <w:r w:rsidRPr="00FB172C">
        <w:rPr>
          <w:i/>
          <w:lang w:val="it-IT"/>
        </w:rPr>
        <w:t>.</w:t>
      </w:r>
    </w:p>
    <w:p w14:paraId="43BFD73F" w14:textId="77777777" w:rsidR="00C90E78" w:rsidRPr="00FB172C" w:rsidRDefault="00000000">
      <w:pPr>
        <w:rPr>
          <w:lang w:val="it-IT"/>
        </w:rPr>
      </w:pPr>
      <w:r w:rsidRPr="00FB172C">
        <w:rPr>
          <w:lang w:val="it-IT"/>
        </w:rPr>
        <w:t xml:space="preserve">Risultato: efficacia positiva di </w:t>
      </w:r>
      <w:proofErr w:type="spellStart"/>
      <w:r w:rsidRPr="00FB172C">
        <w:rPr>
          <w:lang w:val="it-IT"/>
        </w:rPr>
        <w:t>Vacutex</w:t>
      </w:r>
      <w:proofErr w:type="spellEnd"/>
      <w:r w:rsidRPr="00FB172C">
        <w:rPr>
          <w:lang w:val="it-IT"/>
        </w:rPr>
        <w:t>® rispetto alle medicazioni standard.</w:t>
      </w:r>
    </w:p>
    <w:p w14:paraId="31B16786" w14:textId="77777777" w:rsidR="00C90E78" w:rsidRPr="00FB172C" w:rsidRDefault="00000000">
      <w:pPr>
        <w:rPr>
          <w:lang w:val="it-IT"/>
        </w:rPr>
      </w:pPr>
      <w:r w:rsidRPr="00FB172C">
        <w:rPr>
          <w:i/>
          <w:lang w:val="it-IT"/>
        </w:rPr>
        <w:t>Rilevanza per la gara: è l'unico RCT pubblicato sul dispositivo e fornisce evidenza di livello 1b sull'efficacia rispetto alle medicazioni convenzionali.</w:t>
      </w:r>
    </w:p>
    <w:p w14:paraId="7DDD5F23" w14:textId="77777777" w:rsidR="00C90E78" w:rsidRPr="00FB172C" w:rsidRDefault="00C90E78">
      <w:pPr>
        <w:rPr>
          <w:lang w:val="it-IT"/>
        </w:rPr>
      </w:pPr>
    </w:p>
    <w:p w14:paraId="3097AB4A" w14:textId="77777777" w:rsidR="00C90E78" w:rsidRPr="00FB172C" w:rsidRDefault="00000000">
      <w:pPr>
        <w:rPr>
          <w:lang w:val="it-IT"/>
        </w:rPr>
      </w:pPr>
      <w:r w:rsidRPr="00FB172C">
        <w:rPr>
          <w:b/>
          <w:lang w:val="de-DE"/>
        </w:rPr>
        <w:t>Probst A. (</w:t>
      </w:r>
      <w:proofErr w:type="spellStart"/>
      <w:r w:rsidRPr="00FB172C">
        <w:rPr>
          <w:b/>
          <w:lang w:val="de-DE"/>
        </w:rPr>
        <w:t>wound</w:t>
      </w:r>
      <w:proofErr w:type="spellEnd"/>
      <w:r w:rsidRPr="00FB172C">
        <w:rPr>
          <w:b/>
          <w:lang w:val="de-DE"/>
        </w:rPr>
        <w:t xml:space="preserve"> </w:t>
      </w:r>
      <w:proofErr w:type="spellStart"/>
      <w:r w:rsidRPr="00FB172C">
        <w:rPr>
          <w:b/>
          <w:lang w:val="de-DE"/>
        </w:rPr>
        <w:t>specialist</w:t>
      </w:r>
      <w:proofErr w:type="spellEnd"/>
      <w:r w:rsidRPr="00FB172C">
        <w:rPr>
          <w:b/>
          <w:lang w:val="de-DE"/>
        </w:rPr>
        <w:t xml:space="preserve">), Kreiskliniken Reutlingen, Germania, </w:t>
      </w:r>
      <w:proofErr w:type="spellStart"/>
      <w:r w:rsidRPr="00FB172C">
        <w:rPr>
          <w:b/>
          <w:lang w:val="de-DE"/>
        </w:rPr>
        <w:t>gennaio</w:t>
      </w:r>
      <w:proofErr w:type="spellEnd"/>
      <w:r w:rsidRPr="00FB172C">
        <w:rPr>
          <w:b/>
          <w:lang w:val="de-DE"/>
        </w:rPr>
        <w:t xml:space="preserve"> 2011 – </w:t>
      </w:r>
      <w:proofErr w:type="spellStart"/>
      <w:r w:rsidRPr="00FB172C">
        <w:rPr>
          <w:b/>
          <w:lang w:val="de-DE"/>
        </w:rPr>
        <w:t>dicembre</w:t>
      </w:r>
      <w:proofErr w:type="spellEnd"/>
      <w:r w:rsidRPr="00FB172C">
        <w:rPr>
          <w:b/>
          <w:lang w:val="de-DE"/>
        </w:rPr>
        <w:t xml:space="preserve"> 2014. </w:t>
      </w:r>
      <w:r w:rsidRPr="00FB172C">
        <w:rPr>
          <w:b/>
          <w:lang w:val="it-IT"/>
        </w:rPr>
        <w:t xml:space="preserve">Case </w:t>
      </w:r>
      <w:proofErr w:type="spellStart"/>
      <w:r w:rsidRPr="00FB172C">
        <w:rPr>
          <w:b/>
          <w:lang w:val="it-IT"/>
        </w:rPr>
        <w:t>series</w:t>
      </w:r>
      <w:proofErr w:type="spellEnd"/>
      <w:r w:rsidRPr="00FB172C">
        <w:rPr>
          <w:b/>
          <w:lang w:val="it-IT"/>
        </w:rPr>
        <w:t xml:space="preserve"> 276 pazienti.</w:t>
      </w:r>
    </w:p>
    <w:p w14:paraId="45930D2D" w14:textId="77777777" w:rsidR="00C90E78" w:rsidRPr="00FB172C" w:rsidRDefault="00000000">
      <w:pPr>
        <w:rPr>
          <w:lang w:val="it-IT"/>
        </w:rPr>
      </w:pPr>
      <w:r w:rsidRPr="00FB172C">
        <w:rPr>
          <w:lang w:val="it-IT"/>
        </w:rPr>
        <w:t xml:space="preserve">Risultato: gestione migliorata dell'essudato, promozione della granulazione e guarigione più rapida con </w:t>
      </w:r>
      <w:proofErr w:type="spellStart"/>
      <w:r w:rsidRPr="00FB172C">
        <w:rPr>
          <w:lang w:val="it-IT"/>
        </w:rPr>
        <w:t>Vacutex</w:t>
      </w:r>
      <w:proofErr w:type="spellEnd"/>
      <w:r w:rsidRPr="00FB172C">
        <w:rPr>
          <w:lang w:val="it-IT"/>
        </w:rPr>
        <w:t>® su ampia gamma di ferite complesse.</w:t>
      </w:r>
    </w:p>
    <w:p w14:paraId="356D4247" w14:textId="77777777" w:rsidR="00C90E78" w:rsidRPr="00FB172C" w:rsidRDefault="00000000">
      <w:pPr>
        <w:rPr>
          <w:lang w:val="it-IT"/>
        </w:rPr>
      </w:pPr>
      <w:r w:rsidRPr="00FB172C">
        <w:rPr>
          <w:i/>
          <w:lang w:val="it-IT"/>
        </w:rPr>
        <w:t>Rilevanza per la gara: è la più ampia casistica monocentrica europea pubblicata sul dispositivo (276 pazienti); documenta in modo robusto la performance del prodotto in setting reale.</w:t>
      </w:r>
    </w:p>
    <w:p w14:paraId="3B9469D9" w14:textId="77777777" w:rsidR="00C90E78" w:rsidRPr="00FB172C" w:rsidRDefault="00C90E78">
      <w:pPr>
        <w:rPr>
          <w:lang w:val="it-IT"/>
        </w:rPr>
      </w:pPr>
    </w:p>
    <w:p w14:paraId="47AD6B52" w14:textId="77777777" w:rsidR="00C90E78" w:rsidRPr="00FB172C" w:rsidRDefault="00000000">
      <w:pPr>
        <w:rPr>
          <w:lang w:val="it-IT"/>
        </w:rPr>
      </w:pPr>
      <w:r>
        <w:rPr>
          <w:b/>
        </w:rPr>
        <w:t xml:space="preserve">Deeth M., Protex Healthcare, UK, 2002. </w:t>
      </w:r>
      <w:r w:rsidRPr="00FB172C">
        <w:rPr>
          <w:b/>
          <w:lang w:val="it-IT"/>
        </w:rPr>
        <w:t>Audit review, 93 pazienti.</w:t>
      </w:r>
    </w:p>
    <w:p w14:paraId="62FAF92F" w14:textId="77777777" w:rsidR="00C90E78" w:rsidRPr="00FB172C" w:rsidRDefault="00000000">
      <w:pPr>
        <w:rPr>
          <w:lang w:val="it-IT"/>
        </w:rPr>
      </w:pPr>
      <w:r w:rsidRPr="00FB172C">
        <w:rPr>
          <w:lang w:val="it-IT"/>
        </w:rPr>
        <w:t xml:space="preserve">Misurazione della performance di </w:t>
      </w:r>
      <w:proofErr w:type="spellStart"/>
      <w:r w:rsidRPr="00FB172C">
        <w:rPr>
          <w:lang w:val="it-IT"/>
        </w:rPr>
        <w:t>Vacutex</w:t>
      </w:r>
      <w:proofErr w:type="spellEnd"/>
      <w:r w:rsidRPr="00FB172C">
        <w:rPr>
          <w:lang w:val="it-IT"/>
        </w:rPr>
        <w:t>® su ferite acute e croniche.</w:t>
      </w:r>
    </w:p>
    <w:p w14:paraId="51367C74" w14:textId="77777777" w:rsidR="00C90E78" w:rsidRDefault="00000000">
      <w:proofErr w:type="spellStart"/>
      <w:r>
        <w:t>Conclusione</w:t>
      </w:r>
      <w:proofErr w:type="spellEnd"/>
      <w:r>
        <w:t>: "</w:t>
      </w:r>
      <w:proofErr w:type="spellStart"/>
      <w:r>
        <w:t>Vacutex</w:t>
      </w:r>
      <w:proofErr w:type="spellEnd"/>
      <w:r>
        <w:t xml:space="preserve"> has a valuable role in wound management".</w:t>
      </w:r>
    </w:p>
    <w:p w14:paraId="32515C10" w14:textId="77777777" w:rsidR="00C90E78" w:rsidRPr="00FB172C" w:rsidRDefault="00000000">
      <w:pPr>
        <w:pStyle w:val="Titolo2"/>
        <w:rPr>
          <w:lang w:val="it-IT"/>
        </w:rPr>
      </w:pPr>
      <w:r w:rsidRPr="00FB172C">
        <w:rPr>
          <w:lang w:val="it-IT"/>
        </w:rPr>
        <w:t>9.3 Effetto sul biofilm e sulla carica batterica</w:t>
      </w:r>
    </w:p>
    <w:p w14:paraId="76459731" w14:textId="77777777" w:rsidR="00C90E78" w:rsidRPr="00FB172C" w:rsidRDefault="00000000">
      <w:pPr>
        <w:rPr>
          <w:lang w:val="it-IT"/>
        </w:rPr>
      </w:pPr>
      <w:r w:rsidRPr="00FB172C">
        <w:rPr>
          <w:b/>
          <w:lang w:val="it-IT"/>
        </w:rPr>
        <w:t xml:space="preserve">Wolcott R.D., Stati Uniti, 2012. Case </w:t>
      </w:r>
      <w:proofErr w:type="spellStart"/>
      <w:r w:rsidRPr="00FB172C">
        <w:rPr>
          <w:b/>
          <w:lang w:val="it-IT"/>
        </w:rPr>
        <w:t>series</w:t>
      </w:r>
      <w:proofErr w:type="spellEnd"/>
      <w:r w:rsidRPr="00FB172C">
        <w:rPr>
          <w:b/>
          <w:lang w:val="it-IT"/>
        </w:rPr>
        <w:t>, 10 pazienti.</w:t>
      </w:r>
    </w:p>
    <w:p w14:paraId="66C63AA5" w14:textId="77777777" w:rsidR="00C90E78" w:rsidRPr="00FB172C" w:rsidRDefault="00000000">
      <w:pPr>
        <w:rPr>
          <w:lang w:val="it-IT"/>
        </w:rPr>
      </w:pPr>
      <w:r w:rsidRPr="00FB172C">
        <w:rPr>
          <w:i/>
          <w:lang w:val="it-IT"/>
        </w:rPr>
        <w:t xml:space="preserve">Effetto di </w:t>
      </w:r>
      <w:proofErr w:type="spellStart"/>
      <w:r w:rsidRPr="00FB172C">
        <w:rPr>
          <w:i/>
          <w:lang w:val="it-IT"/>
        </w:rPr>
        <w:t>Vacutex</w:t>
      </w:r>
      <w:proofErr w:type="spellEnd"/>
      <w:r w:rsidRPr="00FB172C">
        <w:rPr>
          <w:i/>
          <w:lang w:val="it-IT"/>
        </w:rPr>
        <w:t>® sulla rimozione del biofilm.</w:t>
      </w:r>
    </w:p>
    <w:p w14:paraId="5DC4B1EB" w14:textId="77777777" w:rsidR="00C90E78" w:rsidRPr="00FB172C" w:rsidRDefault="00000000">
      <w:pPr>
        <w:rPr>
          <w:lang w:val="it-IT"/>
        </w:rPr>
      </w:pPr>
      <w:proofErr w:type="spellStart"/>
      <w:r>
        <w:lastRenderedPageBreak/>
        <w:t>Risultato</w:t>
      </w:r>
      <w:proofErr w:type="spellEnd"/>
      <w:r>
        <w:t>: "</w:t>
      </w:r>
      <w:proofErr w:type="spellStart"/>
      <w:r>
        <w:t>Vacutex</w:t>
      </w:r>
      <w:proofErr w:type="spellEnd"/>
      <w:r>
        <w:t xml:space="preserve"> removes Biofilm effectively". </w:t>
      </w:r>
      <w:r w:rsidRPr="00FB172C">
        <w:rPr>
          <w:lang w:val="it-IT"/>
        </w:rPr>
        <w:t>Lo studio è di particolare rilievo in quanto firmato da uno dei massimi esperti mondiali della tematica del biofilm nelle ferite croniche.</w:t>
      </w:r>
    </w:p>
    <w:p w14:paraId="5DEA6660" w14:textId="77777777" w:rsidR="00C90E78" w:rsidRPr="00FB172C" w:rsidRDefault="00000000">
      <w:pPr>
        <w:rPr>
          <w:lang w:val="it-IT"/>
        </w:rPr>
      </w:pPr>
      <w:r w:rsidRPr="00FB172C">
        <w:rPr>
          <w:i/>
          <w:lang w:val="it-IT"/>
        </w:rPr>
        <w:t>Rilevanza per la gara: documenta il meccanismo di detersione meccanica continua, che le medicazioni assorbenti tradizionali non possiedono e che le antimicrobiche surrogano con un approccio chimico esposto al rischio di resistenze.</w:t>
      </w:r>
    </w:p>
    <w:p w14:paraId="04666132" w14:textId="77777777" w:rsidR="00C90E78" w:rsidRPr="00FB172C" w:rsidRDefault="00C90E78">
      <w:pPr>
        <w:rPr>
          <w:lang w:val="it-IT"/>
        </w:rPr>
      </w:pPr>
    </w:p>
    <w:p w14:paraId="66AB795A" w14:textId="77777777" w:rsidR="00C90E78" w:rsidRPr="00FB172C" w:rsidRDefault="00000000">
      <w:pPr>
        <w:rPr>
          <w:lang w:val="it-IT"/>
        </w:rPr>
      </w:pPr>
      <w:proofErr w:type="spellStart"/>
      <w:r w:rsidRPr="00FB172C">
        <w:rPr>
          <w:b/>
          <w:lang w:val="it-IT"/>
        </w:rPr>
        <w:t>Moratilla</w:t>
      </w:r>
      <w:proofErr w:type="spellEnd"/>
      <w:r w:rsidRPr="00FB172C">
        <w:rPr>
          <w:b/>
          <w:lang w:val="it-IT"/>
        </w:rPr>
        <w:t xml:space="preserve"> C.A., </w:t>
      </w:r>
      <w:proofErr w:type="spellStart"/>
      <w:r w:rsidRPr="00FB172C">
        <w:rPr>
          <w:b/>
          <w:lang w:val="it-IT"/>
        </w:rPr>
        <w:t>Heridea</w:t>
      </w:r>
      <w:proofErr w:type="spellEnd"/>
      <w:r w:rsidRPr="00FB172C">
        <w:rPr>
          <w:b/>
          <w:lang w:val="it-IT"/>
        </w:rPr>
        <w:t>, Spagna, 2022. Studio multicentrico, prospettico, single-group, quasi-sperimentale, 27 pazienti.</w:t>
      </w:r>
    </w:p>
    <w:p w14:paraId="5B5B68C1" w14:textId="77777777" w:rsidR="00C90E78" w:rsidRDefault="00000000">
      <w:r>
        <w:rPr>
          <w:i/>
        </w:rPr>
        <w:t>"Interrelation of clinical and biophysical signs of colonization/infection through the protocolized use of a Vacutex high capillarity dressing".</w:t>
      </w:r>
    </w:p>
    <w:p w14:paraId="5CCEA601" w14:textId="77777777" w:rsidR="00C90E78" w:rsidRPr="00FB172C" w:rsidRDefault="00000000">
      <w:pPr>
        <w:rPr>
          <w:lang w:val="it-IT"/>
        </w:rPr>
      </w:pPr>
      <w:r w:rsidRPr="00FB172C">
        <w:rPr>
          <w:lang w:val="it-IT"/>
        </w:rPr>
        <w:t xml:space="preserve">Risultato: riduzione documentata dell'infezione e accelerazione della chiusura della ferita con uso protocollato di </w:t>
      </w:r>
      <w:proofErr w:type="spellStart"/>
      <w:r w:rsidRPr="00FB172C">
        <w:rPr>
          <w:lang w:val="it-IT"/>
        </w:rPr>
        <w:t>Vacutex</w:t>
      </w:r>
      <w:proofErr w:type="spellEnd"/>
      <w:r w:rsidRPr="00FB172C">
        <w:rPr>
          <w:lang w:val="it-IT"/>
        </w:rPr>
        <w:t>®.</w:t>
      </w:r>
    </w:p>
    <w:p w14:paraId="7EC351CC" w14:textId="77777777" w:rsidR="00C90E78" w:rsidRPr="00FB172C" w:rsidRDefault="00000000">
      <w:pPr>
        <w:rPr>
          <w:lang w:val="it-IT"/>
        </w:rPr>
      </w:pPr>
      <w:r w:rsidRPr="00FB172C">
        <w:rPr>
          <w:i/>
          <w:lang w:val="it-IT"/>
        </w:rPr>
        <w:t xml:space="preserve">Rilevanza per la gara: studio multicentrico che documenta l'effetto di </w:t>
      </w:r>
      <w:proofErr w:type="spellStart"/>
      <w:r w:rsidRPr="00FB172C">
        <w:rPr>
          <w:i/>
          <w:lang w:val="it-IT"/>
        </w:rPr>
        <w:t>Vacutex</w:t>
      </w:r>
      <w:proofErr w:type="spellEnd"/>
      <w:r w:rsidRPr="00FB172C">
        <w:rPr>
          <w:i/>
          <w:lang w:val="it-IT"/>
        </w:rPr>
        <w:t>® sui segni clinici e biofisici della colonizzazione/infezione, con dati replicati in uno studio pilota dello stesso gruppo (</w:t>
      </w:r>
      <w:proofErr w:type="spellStart"/>
      <w:r w:rsidRPr="00FB172C">
        <w:rPr>
          <w:i/>
          <w:lang w:val="it-IT"/>
        </w:rPr>
        <w:t>Moratilla</w:t>
      </w:r>
      <w:proofErr w:type="spellEnd"/>
      <w:r w:rsidRPr="00FB172C">
        <w:rPr>
          <w:i/>
          <w:lang w:val="it-IT"/>
        </w:rPr>
        <w:t xml:space="preserve"> 2022 — pilot study, 8 pazienti).</w:t>
      </w:r>
    </w:p>
    <w:p w14:paraId="2625EC5B" w14:textId="77777777" w:rsidR="00C90E78" w:rsidRPr="00FB172C" w:rsidRDefault="00000000">
      <w:pPr>
        <w:pStyle w:val="Titolo2"/>
        <w:rPr>
          <w:lang w:val="it-IT"/>
        </w:rPr>
      </w:pPr>
      <w:r w:rsidRPr="00FB172C">
        <w:rPr>
          <w:lang w:val="it-IT"/>
        </w:rPr>
        <w:t>9.4 Indicazioni cliniche specifiche</w:t>
      </w:r>
    </w:p>
    <w:p w14:paraId="17E9329B" w14:textId="77777777" w:rsidR="00C90E78" w:rsidRPr="00FB172C" w:rsidRDefault="00000000">
      <w:pPr>
        <w:rPr>
          <w:lang w:val="it-IT"/>
        </w:rPr>
      </w:pPr>
      <w:r w:rsidRPr="00FB172C">
        <w:rPr>
          <w:b/>
          <w:lang w:val="it-IT"/>
        </w:rPr>
        <w:t xml:space="preserve">Probst A., </w:t>
      </w:r>
      <w:proofErr w:type="spellStart"/>
      <w:r w:rsidRPr="00FB172C">
        <w:rPr>
          <w:b/>
          <w:lang w:val="it-IT"/>
        </w:rPr>
        <w:t>Kreiskliniken</w:t>
      </w:r>
      <w:proofErr w:type="spellEnd"/>
      <w:r w:rsidRPr="00FB172C">
        <w:rPr>
          <w:b/>
          <w:lang w:val="it-IT"/>
        </w:rPr>
        <w:t xml:space="preserve"> Reutlingen, Germania, 2017. Case </w:t>
      </w:r>
      <w:proofErr w:type="spellStart"/>
      <w:r w:rsidRPr="00FB172C">
        <w:rPr>
          <w:b/>
          <w:lang w:val="it-IT"/>
        </w:rPr>
        <w:t>series</w:t>
      </w:r>
      <w:proofErr w:type="spellEnd"/>
      <w:r w:rsidRPr="00FB172C">
        <w:rPr>
          <w:b/>
          <w:lang w:val="it-IT"/>
        </w:rPr>
        <w:t xml:space="preserve"> 10 pazienti.</w:t>
      </w:r>
    </w:p>
    <w:p w14:paraId="68472C16" w14:textId="77777777" w:rsidR="00C90E78" w:rsidRPr="00FB172C" w:rsidRDefault="00000000">
      <w:pPr>
        <w:rPr>
          <w:lang w:val="it-IT"/>
        </w:rPr>
      </w:pPr>
      <w:r w:rsidRPr="00FB172C">
        <w:rPr>
          <w:i/>
          <w:lang w:val="it-IT"/>
        </w:rPr>
        <w:t xml:space="preserve">Riduzione dell'edema </w:t>
      </w:r>
      <w:proofErr w:type="spellStart"/>
      <w:r w:rsidRPr="00FB172C">
        <w:rPr>
          <w:i/>
          <w:lang w:val="it-IT"/>
        </w:rPr>
        <w:t>perilesionale</w:t>
      </w:r>
      <w:proofErr w:type="spellEnd"/>
      <w:r w:rsidRPr="00FB172C">
        <w:rPr>
          <w:i/>
          <w:lang w:val="it-IT"/>
        </w:rPr>
        <w:t xml:space="preserve"> e miglioramento della perfusione, misurati oggettivamente con imaging iperspettrale TIVITA®.</w:t>
      </w:r>
    </w:p>
    <w:p w14:paraId="0D7348A6" w14:textId="77777777" w:rsidR="00C90E78" w:rsidRPr="00FB172C" w:rsidRDefault="00000000">
      <w:pPr>
        <w:rPr>
          <w:lang w:val="it-IT"/>
        </w:rPr>
      </w:pPr>
      <w:r w:rsidRPr="00FB172C">
        <w:rPr>
          <w:i/>
          <w:lang w:val="it-IT"/>
        </w:rPr>
        <w:t xml:space="preserve">Rilevanza per la gara: misurazione oggettiva e strumentale degli effetti di </w:t>
      </w:r>
      <w:proofErr w:type="spellStart"/>
      <w:r w:rsidRPr="00FB172C">
        <w:rPr>
          <w:i/>
          <w:lang w:val="it-IT"/>
        </w:rPr>
        <w:t>Vacutex</w:t>
      </w:r>
      <w:proofErr w:type="spellEnd"/>
      <w:r w:rsidRPr="00FB172C">
        <w:rPr>
          <w:i/>
          <w:lang w:val="it-IT"/>
        </w:rPr>
        <w:t>® sul microcircolo, non solo valutazione qualitativa.</w:t>
      </w:r>
    </w:p>
    <w:p w14:paraId="1AB6B710" w14:textId="77777777" w:rsidR="00C90E78" w:rsidRPr="00FB172C" w:rsidRDefault="00C90E78">
      <w:pPr>
        <w:rPr>
          <w:lang w:val="it-IT"/>
        </w:rPr>
      </w:pPr>
    </w:p>
    <w:p w14:paraId="6E99A179" w14:textId="77777777" w:rsidR="00C90E78" w:rsidRPr="00FB172C" w:rsidRDefault="00000000">
      <w:pPr>
        <w:rPr>
          <w:lang w:val="it-IT"/>
        </w:rPr>
      </w:pPr>
      <w:r w:rsidRPr="00FB172C">
        <w:rPr>
          <w:b/>
          <w:lang w:val="nl-NL"/>
        </w:rPr>
        <w:t xml:space="preserve">Van Loenen L., Spaarne Gasthuis, </w:t>
      </w:r>
      <w:proofErr w:type="spellStart"/>
      <w:r w:rsidRPr="00FB172C">
        <w:rPr>
          <w:b/>
          <w:lang w:val="nl-NL"/>
        </w:rPr>
        <w:t>Paesi</w:t>
      </w:r>
      <w:proofErr w:type="spellEnd"/>
      <w:r w:rsidRPr="00FB172C">
        <w:rPr>
          <w:b/>
          <w:lang w:val="nl-NL"/>
        </w:rPr>
        <w:t xml:space="preserve"> Bassi, 2019. </w:t>
      </w:r>
      <w:r w:rsidRPr="00FB172C">
        <w:rPr>
          <w:b/>
          <w:lang w:val="it-IT"/>
        </w:rPr>
        <w:t xml:space="preserve">Case report. Trattamento di piede diabetico con </w:t>
      </w:r>
      <w:proofErr w:type="spellStart"/>
      <w:r w:rsidRPr="00FB172C">
        <w:rPr>
          <w:b/>
          <w:lang w:val="it-IT"/>
        </w:rPr>
        <w:t>Vacutex</w:t>
      </w:r>
      <w:proofErr w:type="spellEnd"/>
      <w:r w:rsidRPr="00FB172C">
        <w:rPr>
          <w:b/>
          <w:lang w:val="it-IT"/>
        </w:rPr>
        <w:t>®, ferita chiusa.</w:t>
      </w:r>
    </w:p>
    <w:p w14:paraId="16D495CC" w14:textId="77777777" w:rsidR="00C90E78" w:rsidRPr="00FB172C" w:rsidRDefault="00000000">
      <w:pPr>
        <w:rPr>
          <w:lang w:val="it-IT"/>
        </w:rPr>
      </w:pPr>
      <w:r w:rsidRPr="00FB172C">
        <w:rPr>
          <w:b/>
          <w:lang w:val="nl-NL"/>
        </w:rPr>
        <w:t xml:space="preserve">Van Dijk T., Spaarne Gasthuis, </w:t>
      </w:r>
      <w:proofErr w:type="spellStart"/>
      <w:r w:rsidRPr="00FB172C">
        <w:rPr>
          <w:b/>
          <w:lang w:val="nl-NL"/>
        </w:rPr>
        <w:t>Paesi</w:t>
      </w:r>
      <w:proofErr w:type="spellEnd"/>
      <w:r w:rsidRPr="00FB172C">
        <w:rPr>
          <w:b/>
          <w:lang w:val="nl-NL"/>
        </w:rPr>
        <w:t xml:space="preserve"> Bassi, 2024. </w:t>
      </w:r>
      <w:r w:rsidRPr="00FB172C">
        <w:rPr>
          <w:b/>
          <w:lang w:val="it-IT"/>
        </w:rPr>
        <w:t>Case report. Trattamento di ulcera con materiale esterno esposto e di piede diabetico (DFU), ferite chiuse.</w:t>
      </w:r>
    </w:p>
    <w:p w14:paraId="748369E1" w14:textId="77777777" w:rsidR="00C90E78" w:rsidRPr="00FB172C" w:rsidRDefault="00000000">
      <w:pPr>
        <w:rPr>
          <w:lang w:val="it-IT"/>
        </w:rPr>
      </w:pPr>
      <w:proofErr w:type="spellStart"/>
      <w:r w:rsidRPr="00FB172C">
        <w:rPr>
          <w:b/>
          <w:lang w:val="nl-NL"/>
        </w:rPr>
        <w:t>Boereboom</w:t>
      </w:r>
      <w:proofErr w:type="spellEnd"/>
      <w:r w:rsidRPr="00FB172C">
        <w:rPr>
          <w:b/>
          <w:lang w:val="nl-NL"/>
        </w:rPr>
        <w:t xml:space="preserve"> J., </w:t>
      </w:r>
      <w:proofErr w:type="spellStart"/>
      <w:r w:rsidRPr="00FB172C">
        <w:rPr>
          <w:b/>
          <w:lang w:val="nl-NL"/>
        </w:rPr>
        <w:t>Elkerliek</w:t>
      </w:r>
      <w:proofErr w:type="spellEnd"/>
      <w:r w:rsidRPr="00FB172C">
        <w:rPr>
          <w:b/>
          <w:lang w:val="nl-NL"/>
        </w:rPr>
        <w:t xml:space="preserve"> Ziekenhuis, </w:t>
      </w:r>
      <w:proofErr w:type="spellStart"/>
      <w:r w:rsidRPr="00FB172C">
        <w:rPr>
          <w:b/>
          <w:lang w:val="nl-NL"/>
        </w:rPr>
        <w:t>Paesi</w:t>
      </w:r>
      <w:proofErr w:type="spellEnd"/>
      <w:r w:rsidRPr="00FB172C">
        <w:rPr>
          <w:b/>
          <w:lang w:val="nl-NL"/>
        </w:rPr>
        <w:t xml:space="preserve"> Bassi, 2024. </w:t>
      </w:r>
      <w:r w:rsidRPr="00FB172C">
        <w:rPr>
          <w:b/>
          <w:lang w:val="it-IT"/>
        </w:rPr>
        <w:t>Case report. Trattamento DFU, ferita chiusa.</w:t>
      </w:r>
    </w:p>
    <w:p w14:paraId="7081D479" w14:textId="77777777" w:rsidR="00C90E78" w:rsidRPr="00FB172C" w:rsidRDefault="00000000">
      <w:pPr>
        <w:rPr>
          <w:lang w:val="it-IT"/>
        </w:rPr>
      </w:pPr>
      <w:r w:rsidRPr="00FB172C">
        <w:rPr>
          <w:b/>
          <w:lang w:val="it-IT"/>
        </w:rPr>
        <w:t xml:space="preserve">Mayne J., Irlanda, 2024. Case report. Trattamento di ulcera con osso esposto. </w:t>
      </w:r>
      <w:proofErr w:type="spellStart"/>
      <w:r w:rsidRPr="00FB172C">
        <w:rPr>
          <w:b/>
          <w:lang w:val="it-IT"/>
        </w:rPr>
        <w:t>Vacutex</w:t>
      </w:r>
      <w:proofErr w:type="spellEnd"/>
      <w:r w:rsidRPr="00FB172C">
        <w:rPr>
          <w:b/>
          <w:lang w:val="it-IT"/>
        </w:rPr>
        <w:t>® ha permesso la crescita di tessuto di granulazione sopra l'osso esposto.</w:t>
      </w:r>
    </w:p>
    <w:p w14:paraId="3FC109FD" w14:textId="77777777" w:rsidR="00C90E78" w:rsidRPr="00FB172C" w:rsidRDefault="00000000">
      <w:pPr>
        <w:rPr>
          <w:lang w:val="it-IT"/>
        </w:rPr>
      </w:pPr>
      <w:proofErr w:type="spellStart"/>
      <w:r w:rsidRPr="00FB172C">
        <w:rPr>
          <w:b/>
          <w:lang w:val="it-IT"/>
        </w:rPr>
        <w:t>Camelbeeck</w:t>
      </w:r>
      <w:proofErr w:type="spellEnd"/>
      <w:r w:rsidRPr="00FB172C">
        <w:rPr>
          <w:b/>
          <w:lang w:val="it-IT"/>
        </w:rPr>
        <w:t xml:space="preserve"> P. (Dr.), Francia, 2016. Case report. Ulcera di </w:t>
      </w:r>
      <w:proofErr w:type="spellStart"/>
      <w:r w:rsidRPr="00FB172C">
        <w:rPr>
          <w:b/>
          <w:lang w:val="it-IT"/>
        </w:rPr>
        <w:t>Buruli</w:t>
      </w:r>
      <w:proofErr w:type="spellEnd"/>
      <w:r w:rsidRPr="00FB172C">
        <w:rPr>
          <w:b/>
          <w:lang w:val="it-IT"/>
        </w:rPr>
        <w:t>, ferita chiusa.</w:t>
      </w:r>
    </w:p>
    <w:p w14:paraId="6BA8F544" w14:textId="77777777" w:rsidR="00C90E78" w:rsidRPr="00FB172C" w:rsidRDefault="00C90E78">
      <w:pPr>
        <w:rPr>
          <w:lang w:val="it-IT"/>
        </w:rPr>
      </w:pPr>
    </w:p>
    <w:p w14:paraId="4BD6210C" w14:textId="77777777" w:rsidR="00C90E78" w:rsidRPr="00FB172C" w:rsidRDefault="00000000">
      <w:pPr>
        <w:rPr>
          <w:lang w:val="it-IT"/>
        </w:rPr>
      </w:pPr>
      <w:r w:rsidRPr="00FB172C">
        <w:rPr>
          <w:b/>
          <w:lang w:val="it-IT"/>
        </w:rPr>
        <w:t xml:space="preserve">Maessen S., </w:t>
      </w:r>
      <w:proofErr w:type="spellStart"/>
      <w:r w:rsidRPr="00FB172C">
        <w:rPr>
          <w:b/>
          <w:lang w:val="it-IT"/>
        </w:rPr>
        <w:t>Viecuri</w:t>
      </w:r>
      <w:proofErr w:type="spellEnd"/>
      <w:r w:rsidRPr="00FB172C">
        <w:rPr>
          <w:b/>
          <w:lang w:val="it-IT"/>
        </w:rPr>
        <w:t xml:space="preserve"> Hospital, Paesi Bassi, 2024. Case report.</w:t>
      </w:r>
    </w:p>
    <w:p w14:paraId="70BEA033" w14:textId="77777777" w:rsidR="00C90E78" w:rsidRPr="00FB172C" w:rsidRDefault="00000000">
      <w:pPr>
        <w:rPr>
          <w:lang w:val="it-IT"/>
        </w:rPr>
      </w:pPr>
      <w:r w:rsidRPr="00FB172C">
        <w:rPr>
          <w:i/>
          <w:lang w:val="it-IT"/>
        </w:rPr>
        <w:lastRenderedPageBreak/>
        <w:t xml:space="preserve">Trattamento di ulcera in combinazione con pinch </w:t>
      </w:r>
      <w:proofErr w:type="spellStart"/>
      <w:r w:rsidRPr="00FB172C">
        <w:rPr>
          <w:i/>
          <w:lang w:val="it-IT"/>
        </w:rPr>
        <w:t>grafts</w:t>
      </w:r>
      <w:proofErr w:type="spellEnd"/>
      <w:r w:rsidRPr="00FB172C">
        <w:rPr>
          <w:i/>
          <w:lang w:val="it-IT"/>
        </w:rPr>
        <w:t xml:space="preserve">. Conclusione: </w:t>
      </w:r>
      <w:proofErr w:type="spellStart"/>
      <w:r w:rsidRPr="00FB172C">
        <w:rPr>
          <w:i/>
          <w:lang w:val="it-IT"/>
        </w:rPr>
        <w:t>Vacutex</w:t>
      </w:r>
      <w:proofErr w:type="spellEnd"/>
      <w:r w:rsidRPr="00FB172C">
        <w:rPr>
          <w:i/>
          <w:lang w:val="it-IT"/>
        </w:rPr>
        <w:t xml:space="preserve">® è un eccellente trattamento in combinazione con pinch </w:t>
      </w:r>
      <w:proofErr w:type="spellStart"/>
      <w:r w:rsidRPr="00FB172C">
        <w:rPr>
          <w:i/>
          <w:lang w:val="it-IT"/>
        </w:rPr>
        <w:t>grafts</w:t>
      </w:r>
      <w:proofErr w:type="spellEnd"/>
      <w:r w:rsidRPr="00FB172C">
        <w:rPr>
          <w:i/>
          <w:lang w:val="it-IT"/>
        </w:rPr>
        <w:t>.</w:t>
      </w:r>
    </w:p>
    <w:p w14:paraId="5C14B25F" w14:textId="77777777" w:rsidR="00C90E78" w:rsidRPr="00FB172C" w:rsidRDefault="00000000">
      <w:pPr>
        <w:pStyle w:val="Titolo2"/>
        <w:rPr>
          <w:lang w:val="it-IT"/>
        </w:rPr>
      </w:pPr>
      <w:r w:rsidRPr="00FB172C">
        <w:rPr>
          <w:lang w:val="it-IT"/>
        </w:rPr>
        <w:t>9.5 Studi che documentano la sostituibilità con NPWT (rilevanti anche in questo contesto)</w:t>
      </w:r>
    </w:p>
    <w:p w14:paraId="210BCB71" w14:textId="77777777" w:rsidR="00C90E78" w:rsidRDefault="00000000">
      <w:proofErr w:type="spellStart"/>
      <w:r w:rsidRPr="00FB172C">
        <w:rPr>
          <w:b/>
          <w:lang w:val="it-IT"/>
        </w:rPr>
        <w:t>Duteille</w:t>
      </w:r>
      <w:proofErr w:type="spellEnd"/>
      <w:r w:rsidRPr="00FB172C">
        <w:rPr>
          <w:b/>
          <w:lang w:val="it-IT"/>
        </w:rPr>
        <w:t xml:space="preserve"> F. (Prof.), Dipartimento di Chirurgia Plastica e Ustioni, CHU di Nantes, Francia. </w:t>
      </w:r>
      <w:r>
        <w:rPr>
          <w:b/>
        </w:rPr>
        <w:t xml:space="preserve">Studio </w:t>
      </w:r>
      <w:proofErr w:type="spellStart"/>
      <w:r>
        <w:rPr>
          <w:b/>
        </w:rPr>
        <w:t>osservazionale</w:t>
      </w:r>
      <w:proofErr w:type="spellEnd"/>
      <w:r>
        <w:rPr>
          <w:b/>
        </w:rPr>
        <w:t xml:space="preserve">, </w:t>
      </w:r>
      <w:proofErr w:type="spellStart"/>
      <w:r>
        <w:rPr>
          <w:b/>
        </w:rPr>
        <w:t>ottobre</w:t>
      </w:r>
      <w:proofErr w:type="spellEnd"/>
      <w:r>
        <w:rPr>
          <w:b/>
        </w:rPr>
        <w:t xml:space="preserve"> 2018 – febbraio 2019, 10 pazienti.</w:t>
      </w:r>
    </w:p>
    <w:p w14:paraId="5C887B3A" w14:textId="77777777" w:rsidR="00C90E78" w:rsidRPr="00FB172C" w:rsidRDefault="00000000">
      <w:pPr>
        <w:rPr>
          <w:lang w:val="it-IT"/>
        </w:rPr>
      </w:pPr>
      <w:r>
        <w:rPr>
          <w:i/>
        </w:rPr>
        <w:t xml:space="preserve">Conclusione: "Vacutex can be seen as a new category between classical advanced woundcare products and NPWT machine". </w:t>
      </w:r>
      <w:r w:rsidRPr="00FB172C">
        <w:rPr>
          <w:i/>
          <w:lang w:val="it-IT"/>
        </w:rPr>
        <w:t xml:space="preserve">Lo studio identifica </w:t>
      </w:r>
      <w:proofErr w:type="spellStart"/>
      <w:r w:rsidRPr="00FB172C">
        <w:rPr>
          <w:i/>
          <w:lang w:val="it-IT"/>
        </w:rPr>
        <w:t>Vacutex</w:t>
      </w:r>
      <w:proofErr w:type="spellEnd"/>
      <w:r w:rsidRPr="00FB172C">
        <w:rPr>
          <w:i/>
          <w:lang w:val="it-IT"/>
        </w:rPr>
        <w:t>® come categoria intermedia fra le medicazioni avanzate classiche e la NPWT, riconoscendone l'autonomia categoriale.</w:t>
      </w:r>
    </w:p>
    <w:p w14:paraId="7AEC3D5A" w14:textId="77777777" w:rsidR="00C90E78" w:rsidRPr="00FB172C" w:rsidRDefault="00C90E78">
      <w:pPr>
        <w:rPr>
          <w:lang w:val="it-IT"/>
        </w:rPr>
      </w:pPr>
    </w:p>
    <w:p w14:paraId="53FAAB5E" w14:textId="77777777" w:rsidR="00C90E78" w:rsidRDefault="00000000">
      <w:r w:rsidRPr="00FB172C">
        <w:rPr>
          <w:b/>
          <w:lang w:val="nl-NL"/>
        </w:rPr>
        <w:t xml:space="preserve">Janssen S., </w:t>
      </w:r>
      <w:proofErr w:type="spellStart"/>
      <w:r w:rsidRPr="00FB172C">
        <w:rPr>
          <w:b/>
          <w:lang w:val="nl-NL"/>
        </w:rPr>
        <w:t>Elkerliek</w:t>
      </w:r>
      <w:proofErr w:type="spellEnd"/>
      <w:r w:rsidRPr="00FB172C">
        <w:rPr>
          <w:b/>
          <w:lang w:val="nl-NL"/>
        </w:rPr>
        <w:t xml:space="preserve"> Ziekenhuis, </w:t>
      </w:r>
      <w:proofErr w:type="spellStart"/>
      <w:r w:rsidRPr="00FB172C">
        <w:rPr>
          <w:b/>
          <w:lang w:val="nl-NL"/>
        </w:rPr>
        <w:t>Paesi</w:t>
      </w:r>
      <w:proofErr w:type="spellEnd"/>
      <w:r w:rsidRPr="00FB172C">
        <w:rPr>
          <w:b/>
          <w:lang w:val="nl-NL"/>
        </w:rPr>
        <w:t xml:space="preserve"> Bassi, 2017 e 2021. </w:t>
      </w:r>
      <w:r>
        <w:rPr>
          <w:b/>
        </w:rPr>
        <w:t>Patient observation study + case series 10 pazienti.</w:t>
      </w:r>
    </w:p>
    <w:p w14:paraId="528D10C9" w14:textId="77777777" w:rsidR="00C90E78" w:rsidRPr="00FB172C" w:rsidRDefault="00000000">
      <w:pPr>
        <w:rPr>
          <w:lang w:val="it-IT"/>
        </w:rPr>
      </w:pPr>
      <w:r w:rsidRPr="00FB172C">
        <w:rPr>
          <w:i/>
          <w:lang w:val="it-IT"/>
        </w:rPr>
        <w:t xml:space="preserve">Studi che hanno portato al pieno rimborso di </w:t>
      </w:r>
      <w:proofErr w:type="spellStart"/>
      <w:r w:rsidRPr="00FB172C">
        <w:rPr>
          <w:i/>
          <w:lang w:val="it-IT"/>
        </w:rPr>
        <w:t>Vacutex</w:t>
      </w:r>
      <w:proofErr w:type="spellEnd"/>
      <w:r w:rsidRPr="00FB172C">
        <w:rPr>
          <w:i/>
          <w:lang w:val="it-IT"/>
        </w:rPr>
        <w:t>® nei Paesi Bassi e ne hanno documentato l'efficacia come terapia di step-down dopo NPWT.</w:t>
      </w:r>
    </w:p>
    <w:p w14:paraId="08C9CE7B" w14:textId="77777777" w:rsidR="00C90E78" w:rsidRPr="00FB172C" w:rsidRDefault="00C90E78">
      <w:pPr>
        <w:rPr>
          <w:lang w:val="it-IT"/>
        </w:rPr>
      </w:pPr>
    </w:p>
    <w:p w14:paraId="410307E5" w14:textId="77777777" w:rsidR="00C90E78" w:rsidRPr="00FB172C" w:rsidRDefault="00000000">
      <w:pPr>
        <w:rPr>
          <w:lang w:val="it-IT"/>
        </w:rPr>
      </w:pPr>
      <w:r w:rsidRPr="00FB172C">
        <w:rPr>
          <w:b/>
          <w:lang w:val="it-IT"/>
        </w:rPr>
        <w:t>Nota bibliografica complessiva.</w:t>
      </w:r>
    </w:p>
    <w:p w14:paraId="2C52B369" w14:textId="77777777" w:rsidR="00C90E78" w:rsidRPr="00FB172C" w:rsidRDefault="00000000">
      <w:pPr>
        <w:rPr>
          <w:lang w:val="it-IT"/>
        </w:rPr>
      </w:pPr>
      <w:r w:rsidRPr="00FB172C">
        <w:rPr>
          <w:lang w:val="it-IT"/>
        </w:rPr>
        <w:t>L'</w:t>
      </w:r>
      <w:proofErr w:type="spellStart"/>
      <w:r w:rsidRPr="00FB172C">
        <w:rPr>
          <w:lang w:val="it-IT"/>
        </w:rPr>
        <w:t>overview</w:t>
      </w:r>
      <w:proofErr w:type="spellEnd"/>
      <w:r w:rsidRPr="00FB172C">
        <w:rPr>
          <w:lang w:val="it-IT"/>
        </w:rPr>
        <w:t xml:space="preserve"> clinico complessivo del fabbricante (aggiornamento 2025) raccoglie oltre 40 pubblicazioni e casistiche internazionali (UK, USA, Germania, Belgio, Paesi Bassi, Francia, Spagna, Australia, Singapore, Irlanda, Nigeria, Guadalupa, Medio Oriente) condotte sulla quasi totalità delle indicazioni cliniche oggi gestite con medicazioni avanzate. La copia integrale dell'</w:t>
      </w:r>
      <w:proofErr w:type="spellStart"/>
      <w:r w:rsidRPr="00FB172C">
        <w:rPr>
          <w:lang w:val="it-IT"/>
        </w:rPr>
        <w:t>overview</w:t>
      </w:r>
      <w:proofErr w:type="spellEnd"/>
      <w:r w:rsidRPr="00FB172C">
        <w:rPr>
          <w:lang w:val="it-IT"/>
        </w:rPr>
        <w:t xml:space="preserve"> è disponibile a richiesta della stazione appaltante.</w:t>
      </w:r>
    </w:p>
    <w:p w14:paraId="7BB9871A" w14:textId="77777777" w:rsidR="00C90E78" w:rsidRPr="00FB172C" w:rsidRDefault="00000000">
      <w:pPr>
        <w:rPr>
          <w:lang w:val="it-IT"/>
        </w:rPr>
      </w:pPr>
      <w:r w:rsidRPr="00FB172C">
        <w:rPr>
          <w:lang w:val="it-IT"/>
        </w:rPr>
        <w:br w:type="page"/>
      </w:r>
    </w:p>
    <w:p w14:paraId="1780E6FC" w14:textId="77777777" w:rsidR="00C90E78" w:rsidRPr="00FB172C" w:rsidRDefault="00000000">
      <w:pPr>
        <w:pStyle w:val="Titolo1"/>
        <w:rPr>
          <w:lang w:val="it-IT"/>
        </w:rPr>
      </w:pPr>
      <w:r w:rsidRPr="00FB172C">
        <w:rPr>
          <w:lang w:val="it-IT"/>
        </w:rPr>
        <w:lastRenderedPageBreak/>
        <w:t>10. Conclusioni</w:t>
      </w:r>
    </w:p>
    <w:p w14:paraId="472A12CF" w14:textId="77777777" w:rsidR="00C90E78" w:rsidRPr="00FB172C" w:rsidRDefault="00000000">
      <w:pPr>
        <w:rPr>
          <w:lang w:val="it-IT"/>
        </w:rPr>
      </w:pPr>
      <w:proofErr w:type="spellStart"/>
      <w:r w:rsidRPr="00FB172C">
        <w:rPr>
          <w:lang w:val="it-IT"/>
        </w:rPr>
        <w:t>Vacutex</w:t>
      </w:r>
      <w:proofErr w:type="spellEnd"/>
      <w:r w:rsidRPr="00FB172C">
        <w:rPr>
          <w:lang w:val="it-IT"/>
        </w:rPr>
        <w:t>® costituisce una soluzione terapeutica strutturalmente diversa dalle medicazioni avanzate ad assorbimento passivo oggi più diffuse. La differenza chiave è il passaggio da un paradigma di assorbimento passivo dell'essudato a un paradigma di rimozione attiva e continuativa dell'essudato e dei suoi componenti nocivi (MMP, citochine pro-infiammatorie, biofilm, batteri planctonici, detriti necrotici) grazie all'azione capillare attiva tridimensionale che genera una pressione sub-atmosferica misurata di –68 mmHg al contatto con il letto della lesione.</w:t>
      </w:r>
    </w:p>
    <w:p w14:paraId="3420710E" w14:textId="77777777" w:rsidR="00C90E78" w:rsidRPr="00FB172C" w:rsidRDefault="00000000">
      <w:pPr>
        <w:rPr>
          <w:lang w:val="it-IT"/>
        </w:rPr>
      </w:pPr>
      <w:r w:rsidRPr="00FB172C">
        <w:rPr>
          <w:lang w:val="it-IT"/>
        </w:rPr>
        <w:t xml:space="preserve">I principali punti di forza che giustificano la preferibilità di </w:t>
      </w:r>
      <w:proofErr w:type="spellStart"/>
      <w:r w:rsidRPr="00FB172C">
        <w:rPr>
          <w:lang w:val="it-IT"/>
        </w:rPr>
        <w:t>Vacutex</w:t>
      </w:r>
      <w:proofErr w:type="spellEnd"/>
      <w:r w:rsidRPr="00FB172C">
        <w:rPr>
          <w:lang w:val="it-IT"/>
        </w:rPr>
        <w:t>® in numerosi scenari clinici sono:</w:t>
      </w:r>
    </w:p>
    <w:p w14:paraId="5B9E0877" w14:textId="77777777" w:rsidR="00C90E78" w:rsidRPr="00FB172C" w:rsidRDefault="00000000">
      <w:pPr>
        <w:pStyle w:val="Puntoelenco"/>
        <w:rPr>
          <w:lang w:val="it-IT"/>
        </w:rPr>
      </w:pPr>
      <w:r w:rsidRPr="00FB172C">
        <w:rPr>
          <w:lang w:val="it-IT"/>
        </w:rPr>
        <w:t>azione attiva sul letto della lesione, non solo assorbimento, supportata da misurazione di laboratorio dei –68 mmHg (Breitwieser 2020);</w:t>
      </w:r>
    </w:p>
    <w:p w14:paraId="58B7AA06" w14:textId="77777777" w:rsidR="00C90E78" w:rsidRPr="00FB172C" w:rsidRDefault="00000000">
      <w:pPr>
        <w:pStyle w:val="Puntoelenco"/>
        <w:rPr>
          <w:lang w:val="it-IT"/>
        </w:rPr>
      </w:pPr>
      <w:r w:rsidRPr="00FB172C">
        <w:rPr>
          <w:lang w:val="it-IT"/>
        </w:rPr>
        <w:t>rimozione delle MMP e dei mediatori pro-infiammatori dal microambiente lesionale;</w:t>
      </w:r>
    </w:p>
    <w:p w14:paraId="19029E7F" w14:textId="77777777" w:rsidR="00C90E78" w:rsidRPr="00FB172C" w:rsidRDefault="00000000">
      <w:pPr>
        <w:pStyle w:val="Puntoelenco"/>
        <w:rPr>
          <w:lang w:val="it-IT"/>
        </w:rPr>
      </w:pPr>
      <w:r w:rsidRPr="00FB172C">
        <w:rPr>
          <w:lang w:val="it-IT"/>
        </w:rPr>
        <w:t>detersione meccanica continua del biofilm (Wolcott 2012);</w:t>
      </w:r>
    </w:p>
    <w:p w14:paraId="14871A59" w14:textId="77777777" w:rsidR="00C90E78" w:rsidRPr="00FB172C" w:rsidRDefault="00000000">
      <w:pPr>
        <w:pStyle w:val="Puntoelenco"/>
        <w:rPr>
          <w:lang w:val="it-IT"/>
        </w:rPr>
      </w:pPr>
      <w:r w:rsidRPr="00FB172C">
        <w:rPr>
          <w:lang w:val="it-IT"/>
        </w:rPr>
        <w:t>riduzione meccanica della carica batterica senza ricorso ad antimicrobici locali, in linea con il PNCAR (</w:t>
      </w:r>
      <w:proofErr w:type="spellStart"/>
      <w:r w:rsidRPr="00FB172C">
        <w:rPr>
          <w:lang w:val="it-IT"/>
        </w:rPr>
        <w:t>Moratilla</w:t>
      </w:r>
      <w:proofErr w:type="spellEnd"/>
      <w:r w:rsidRPr="00FB172C">
        <w:rPr>
          <w:lang w:val="it-IT"/>
        </w:rPr>
        <w:t xml:space="preserve"> 2022);</w:t>
      </w:r>
    </w:p>
    <w:p w14:paraId="1E0A8241" w14:textId="77777777" w:rsidR="00C90E78" w:rsidRPr="00FB172C" w:rsidRDefault="00000000">
      <w:pPr>
        <w:pStyle w:val="Puntoelenco"/>
        <w:rPr>
          <w:lang w:val="it-IT"/>
        </w:rPr>
      </w:pPr>
      <w:r w:rsidRPr="00FB172C">
        <w:rPr>
          <w:lang w:val="it-IT"/>
        </w:rPr>
        <w:t xml:space="preserve">assenza di macerazione </w:t>
      </w:r>
      <w:proofErr w:type="spellStart"/>
      <w:r w:rsidRPr="00FB172C">
        <w:rPr>
          <w:lang w:val="it-IT"/>
        </w:rPr>
        <w:t>perilesionale</w:t>
      </w:r>
      <w:proofErr w:type="spellEnd"/>
      <w:r w:rsidRPr="00FB172C">
        <w:rPr>
          <w:lang w:val="it-IT"/>
        </w:rPr>
        <w:t xml:space="preserve"> grazie al trasporto verticale unidirezionale dell'essudato;</w:t>
      </w:r>
    </w:p>
    <w:p w14:paraId="1433BAC1" w14:textId="77777777" w:rsidR="00C90E78" w:rsidRPr="00FB172C" w:rsidRDefault="00000000">
      <w:pPr>
        <w:pStyle w:val="Puntoelenco"/>
        <w:rPr>
          <w:lang w:val="it-IT"/>
        </w:rPr>
      </w:pPr>
      <w:r w:rsidRPr="00FB172C">
        <w:rPr>
          <w:lang w:val="it-IT"/>
        </w:rPr>
        <w:t>riduzione della frequenza dei cambi medicazione e del tempo-infermiere associato;</w:t>
      </w:r>
    </w:p>
    <w:p w14:paraId="1F902800" w14:textId="77777777" w:rsidR="00C90E78" w:rsidRPr="00FB172C" w:rsidRDefault="00000000">
      <w:pPr>
        <w:pStyle w:val="Puntoelenco"/>
        <w:rPr>
          <w:lang w:val="it-IT"/>
        </w:rPr>
      </w:pPr>
      <w:r w:rsidRPr="00FB172C">
        <w:rPr>
          <w:lang w:val="it-IT"/>
        </w:rPr>
        <w:t>sistema standardizzato a due componenti (</w:t>
      </w:r>
      <w:proofErr w:type="spellStart"/>
      <w:r w:rsidRPr="00FB172C">
        <w:rPr>
          <w:lang w:val="it-IT"/>
        </w:rPr>
        <w:t>Vacutex</w:t>
      </w:r>
      <w:proofErr w:type="spellEnd"/>
      <w:r w:rsidRPr="00FB172C">
        <w:rPr>
          <w:lang w:val="it-IT"/>
        </w:rPr>
        <w:t xml:space="preserve"> + secondaria </w:t>
      </w:r>
      <w:proofErr w:type="spellStart"/>
      <w:r w:rsidRPr="00FB172C">
        <w:rPr>
          <w:lang w:val="it-IT"/>
        </w:rPr>
        <w:t>superassorbente</w:t>
      </w:r>
      <w:proofErr w:type="spellEnd"/>
      <w:r w:rsidRPr="00FB172C">
        <w:rPr>
          <w:lang w:val="it-IT"/>
        </w:rPr>
        <w:t>) per le principali indicazioni cliniche;</w:t>
      </w:r>
    </w:p>
    <w:p w14:paraId="785B5014" w14:textId="77777777" w:rsidR="00C90E78" w:rsidRPr="00FB172C" w:rsidRDefault="00000000">
      <w:pPr>
        <w:pStyle w:val="Puntoelenco"/>
        <w:rPr>
          <w:lang w:val="it-IT"/>
        </w:rPr>
      </w:pPr>
      <w:r w:rsidRPr="00FB172C">
        <w:rPr>
          <w:lang w:val="it-IT"/>
        </w:rPr>
        <w:t xml:space="preserve">idoneità su cute </w:t>
      </w:r>
      <w:proofErr w:type="spellStart"/>
      <w:r w:rsidRPr="00FB172C">
        <w:rPr>
          <w:lang w:val="it-IT"/>
        </w:rPr>
        <w:t>perilesionale</w:t>
      </w:r>
      <w:proofErr w:type="spellEnd"/>
      <w:r w:rsidRPr="00FB172C">
        <w:rPr>
          <w:lang w:val="it-IT"/>
        </w:rPr>
        <w:t xml:space="preserve"> fragile (rischio MARSI azzerato);</w:t>
      </w:r>
    </w:p>
    <w:p w14:paraId="621C056D" w14:textId="77777777" w:rsidR="00C90E78" w:rsidRPr="00FB172C" w:rsidRDefault="00000000">
      <w:pPr>
        <w:pStyle w:val="Puntoelenco"/>
        <w:rPr>
          <w:lang w:val="it-IT"/>
        </w:rPr>
      </w:pPr>
      <w:r w:rsidRPr="00FB172C">
        <w:rPr>
          <w:lang w:val="it-IT"/>
        </w:rPr>
        <w:t>semplificazione del prontuario delle medicazioni avanzate;</w:t>
      </w:r>
    </w:p>
    <w:p w14:paraId="680911AB" w14:textId="77777777" w:rsidR="00C90E78" w:rsidRPr="00FB172C" w:rsidRDefault="00000000">
      <w:pPr>
        <w:pStyle w:val="Puntoelenco"/>
        <w:rPr>
          <w:lang w:val="it-IT"/>
        </w:rPr>
      </w:pPr>
      <w:r w:rsidRPr="00FB172C">
        <w:rPr>
          <w:lang w:val="it-IT"/>
        </w:rPr>
        <w:t>idoneità su tutti i setting assistenziali;</w:t>
      </w:r>
    </w:p>
    <w:p w14:paraId="3EF7BC9D" w14:textId="77777777" w:rsidR="00C90E78" w:rsidRPr="00FB172C" w:rsidRDefault="00000000">
      <w:pPr>
        <w:pStyle w:val="Puntoelenco"/>
        <w:rPr>
          <w:lang w:val="it-IT"/>
        </w:rPr>
      </w:pPr>
      <w:r w:rsidRPr="00FB172C">
        <w:rPr>
          <w:lang w:val="it-IT"/>
        </w:rPr>
        <w:t>costo complessivo del trattamento competitivo o inferiore alle alternative;</w:t>
      </w:r>
    </w:p>
    <w:p w14:paraId="410BB7AA" w14:textId="77777777" w:rsidR="00C90E78" w:rsidRPr="00FB172C" w:rsidRDefault="00000000">
      <w:pPr>
        <w:pStyle w:val="Puntoelenco"/>
        <w:rPr>
          <w:lang w:val="it-IT"/>
        </w:rPr>
      </w:pPr>
      <w:r w:rsidRPr="00FB172C">
        <w:rPr>
          <w:lang w:val="it-IT"/>
        </w:rPr>
        <w:t>letteratura clinica internazionale robusta, incluso un RCT (Russel 2001), un'ampia casistica monocentrica (Probst 2011-2014, 276 pz), uno studio multicentrico (</w:t>
      </w:r>
      <w:proofErr w:type="spellStart"/>
      <w:r w:rsidRPr="00FB172C">
        <w:rPr>
          <w:lang w:val="it-IT"/>
        </w:rPr>
        <w:t>Moratilla</w:t>
      </w:r>
      <w:proofErr w:type="spellEnd"/>
      <w:r w:rsidRPr="00FB172C">
        <w:rPr>
          <w:lang w:val="it-IT"/>
        </w:rPr>
        <w:t xml:space="preserve"> 2022) e oltre 40 pubblicazioni complessive.</w:t>
      </w:r>
    </w:p>
    <w:p w14:paraId="7991CC6C" w14:textId="77777777" w:rsidR="00C90E78" w:rsidRPr="00FB172C" w:rsidRDefault="00000000">
      <w:pPr>
        <w:rPr>
          <w:lang w:val="it-IT"/>
        </w:rPr>
      </w:pPr>
      <w:r w:rsidRPr="00FB172C">
        <w:rPr>
          <w:lang w:val="it-IT"/>
        </w:rPr>
        <w:t xml:space="preserve">Per le ragioni esposte, si ritiene che </w:t>
      </w:r>
      <w:proofErr w:type="spellStart"/>
      <w:r w:rsidRPr="00FB172C">
        <w:rPr>
          <w:lang w:val="it-IT"/>
        </w:rPr>
        <w:t>Vacutex</w:t>
      </w:r>
      <w:proofErr w:type="spellEnd"/>
      <w:r w:rsidRPr="00FB172C">
        <w:rPr>
          <w:lang w:val="it-IT"/>
        </w:rPr>
        <w:t xml:space="preserve">® meriti di essere inserito nei capitolati di gara come categoria merceologica autonoma, distinta dalle medicazioni avanzate ad assorbimento passivo, e che la sua acquisizione mediante procedura dedicata o in lotto autonomo nell'ambito di gare </w:t>
      </w:r>
      <w:proofErr w:type="spellStart"/>
      <w:r w:rsidRPr="00FB172C">
        <w:rPr>
          <w:lang w:val="it-IT"/>
        </w:rPr>
        <w:t>multilotto</w:t>
      </w:r>
      <w:proofErr w:type="spellEnd"/>
      <w:r w:rsidRPr="00FB172C">
        <w:rPr>
          <w:lang w:val="it-IT"/>
        </w:rPr>
        <w:t xml:space="preserve"> sia coerente con i principi di efficienza, efficacia, economicità e razionalità della spesa sanitaria pubblica, oltre che con gli obiettivi di </w:t>
      </w:r>
      <w:proofErr w:type="spellStart"/>
      <w:r w:rsidRPr="00FB172C">
        <w:rPr>
          <w:lang w:val="it-IT"/>
        </w:rPr>
        <w:t>stewardship</w:t>
      </w:r>
      <w:proofErr w:type="spellEnd"/>
      <w:r w:rsidRPr="00FB172C">
        <w:rPr>
          <w:lang w:val="it-IT"/>
        </w:rPr>
        <w:t xml:space="preserve"> antimicrobica fissati dal PNCAR.</w:t>
      </w:r>
    </w:p>
    <w:p w14:paraId="695C3901" w14:textId="77777777" w:rsidR="00C90E78" w:rsidRPr="00FB172C" w:rsidRDefault="00C90E78">
      <w:pPr>
        <w:rPr>
          <w:lang w:val="it-IT"/>
        </w:rPr>
      </w:pPr>
    </w:p>
    <w:p w14:paraId="1203B940" w14:textId="1380A069" w:rsidR="00C90E78" w:rsidRPr="00FB172C" w:rsidRDefault="00C90E78">
      <w:pPr>
        <w:rPr>
          <w:lang w:val="it-IT"/>
        </w:rPr>
      </w:pPr>
    </w:p>
    <w:sectPr w:rsidR="00C90E78" w:rsidRPr="00FB172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272787897">
    <w:abstractNumId w:val="8"/>
  </w:num>
  <w:num w:numId="2" w16cid:durableId="1666208431">
    <w:abstractNumId w:val="6"/>
  </w:num>
  <w:num w:numId="3" w16cid:durableId="1468166010">
    <w:abstractNumId w:val="5"/>
  </w:num>
  <w:num w:numId="4" w16cid:durableId="591354418">
    <w:abstractNumId w:val="4"/>
  </w:num>
  <w:num w:numId="5" w16cid:durableId="856386998">
    <w:abstractNumId w:val="7"/>
  </w:num>
  <w:num w:numId="6" w16cid:durableId="1346203169">
    <w:abstractNumId w:val="3"/>
  </w:num>
  <w:num w:numId="7" w16cid:durableId="1092123539">
    <w:abstractNumId w:val="2"/>
  </w:num>
  <w:num w:numId="8" w16cid:durableId="1681658467">
    <w:abstractNumId w:val="1"/>
  </w:num>
  <w:num w:numId="9" w16cid:durableId="169942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0502"/>
    <w:rsid w:val="00AA1D8D"/>
    <w:rsid w:val="00B47730"/>
    <w:rsid w:val="00C90E78"/>
    <w:rsid w:val="00CB0664"/>
    <w:rsid w:val="00FB17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09813"/>
  <w14:defaultImageDpi w14:val="300"/>
  <w15:docId w15:val="{D25C26A9-02A6-4429-A8F2-217C29B8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3918</Words>
  <Characters>25631</Characters>
  <Application>Microsoft Office Word</Application>
  <DocSecurity>0</DocSecurity>
  <Lines>502</Lines>
  <Paragraphs>278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pietro gramaglia</cp:lastModifiedBy>
  <cp:revision>2</cp:revision>
  <dcterms:created xsi:type="dcterms:W3CDTF">2026-06-11T16:20:00Z</dcterms:created>
  <dcterms:modified xsi:type="dcterms:W3CDTF">2026-06-11T16:20:00Z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0e872fc0-beca-451b-9dce-f60b8a5fc81a</vt:lpwstr>
  </property>
</Properties>
</file>